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32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昆山高新技术产业开发区管理委员会</w:t>
      </w:r>
      <w:r>
        <w:rPr>
          <w:rFonts w:hint="eastAsia" w:ascii="宋体" w:hAnsi="宋体" w:cs="宋体"/>
          <w:color w:val="auto"/>
          <w:sz w:val="32"/>
          <w:szCs w:val="32"/>
          <w:highlight w:val="none"/>
          <w:lang w:val="zh-CN"/>
        </w:rPr>
        <w:t xml:space="preserve">      </w:t>
      </w:r>
      <w:r/>
    </w:p>
    <w:p>
      <w:pPr>
        <w:ind w:firstLine="320"/>
        <w:spacing w:line="360" w:lineRule="auto"/>
        <w:rPr>
          <w:rFonts w:ascii="宋体" w:hAnsi="宋体" w:cs="宋体"/>
          <w:color w:val="auto"/>
          <w:spacing w:val="-23"/>
          <w:sz w:val="32"/>
          <w:szCs w:val="32"/>
          <w:highlight w:val="none"/>
          <w:lang w:val="zh-CN"/>
        </w:rPr>
      </w:pPr>
      <w:r>
        <w:rPr>
          <w:rFonts w:hint="eastAsia" w:ascii="宋体" w:hAnsi="宋体" w:cs="宋体"/>
          <w:color w:val="auto"/>
          <w:sz w:val="32"/>
          <w:szCs w:val="32"/>
          <w:highlight w:val="none"/>
          <w:lang w:val="zh-CN"/>
        </w:rPr>
        <w:t xml:space="preserve">项目名</w:t>
      </w:r>
      <w:r>
        <w:rPr>
          <w:rFonts w:hint="eastAsia" w:ascii="宋体" w:hAnsi="宋体" w:cs="宋体"/>
          <w:color w:val="auto"/>
          <w:sz w:val="32"/>
          <w:szCs w:val="32"/>
          <w:highlight w:val="none"/>
          <w:lang w:val="zh-CN" w:eastAsia="zh-CN"/>
        </w:rPr>
        <w:t xml:space="preserve">称：2026年度昆山高新区公共自行车运营服务</w:t>
      </w:r>
      <w:r/>
    </w:p>
    <w:p>
      <w:pPr>
        <w:ind w:firstLine="320"/>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项目编号：JSZC-320583-RHZH-G2026-0001</w:t>
      </w:r>
      <w:r/>
    </w:p>
    <w:p>
      <w:pPr>
        <w:ind w:firstLine="320"/>
        <w:spacing w:line="360" w:lineRule="auto"/>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项目类型：服务类</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江苏仁合中惠工程咨询有限公司</w:t>
      </w:r>
      <w:r/>
    </w:p>
    <w:p>
      <w:pPr>
        <w:pStyle w:val="920"/>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28"/>
          <w:szCs w:val="28"/>
          <w:highlight w:val="none"/>
          <w:lang w:val="zh-CN"/>
        </w:rPr>
        <w:t xml:space="preserve">二〇二</w:t>
      </w:r>
      <w:r>
        <w:rPr>
          <w:rFonts w:hint="eastAsia" w:eastAsia="宋体" w:cs="宋体"/>
          <w:color w:val="auto"/>
          <w:sz w:val="28"/>
          <w:szCs w:val="28"/>
          <w:highlight w:val="none"/>
          <w:lang w:eastAsia="zh-CN"/>
        </w:rPr>
        <w:t xml:space="preserve">六年一</w:t>
      </w:r>
      <w:r>
        <w:rPr>
          <w:rFonts w:eastAsia="宋体" w:cs="宋体"/>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2"/>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2"/>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12"/>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1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1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1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6"/>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6"/>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6"/>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2026年度昆山高新区公共自行车运营服务</w:t>
      </w:r>
      <w:r>
        <w:rPr>
          <w:rFonts w:hint="eastAsia" w:ascii="宋体" w:hAnsi="宋体" w:cs="宋体"/>
          <w:bCs/>
          <w:color w:val="auto"/>
          <w:szCs w:val="21"/>
          <w:highlight w:val="none"/>
          <w:lang w:eastAsia="zh-CN"/>
        </w:rPr>
        <w:t xml:space="preserve">JSZC-320583-RHZH-G2026-0001</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31"/>
          <w:rFonts w:hint="eastAsia" w:ascii="宋体" w:hAnsi="宋体" w:cs="宋体"/>
          <w:szCs w:val="21"/>
          <w:highlight w:val="none"/>
        </w:rPr>
        <w:fldChar w:fldCharType="begin"/>
      </w:r>
      <w:r>
        <w:rPr>
          <w:rStyle w:val="731"/>
          <w:rFonts w:hint="eastAsia" w:ascii="宋体" w:hAnsi="宋体" w:cs="宋体"/>
          <w:szCs w:val="21"/>
          <w:highlight w:val="none"/>
        </w:rPr>
        <w:instrText xml:space="preserve"> HYPERLINK "http://jszfcg.jsczt.cn/）获取招标文件，并于2024年6月" </w:instrText>
      </w:r>
      <w:r>
        <w:rPr>
          <w:rStyle w:val="731"/>
          <w:rFonts w:hint="eastAsia" w:ascii="宋体" w:hAnsi="宋体" w:cs="宋体"/>
          <w:szCs w:val="21"/>
          <w:highlight w:val="none"/>
        </w:rPr>
        <w:fldChar w:fldCharType="separate"/>
      </w:r>
      <w:r>
        <w:rPr>
          <w:rStyle w:val="731"/>
          <w:rFonts w:hint="eastAsia" w:ascii="宋体" w:hAnsi="宋体" w:cs="宋体"/>
          <w:szCs w:val="21"/>
          <w:highlight w:val="none"/>
        </w:rPr>
        <w:t xml:space="preserve">http://jszfcg.jsczt.cn/）获取招标文件，并于202</w:t>
      </w:r>
      <w:r>
        <w:rPr>
          <w:rStyle w:val="731"/>
          <w:rFonts w:hint="eastAsia" w:ascii="宋体" w:hAnsi="宋体" w:cs="宋体"/>
          <w:szCs w:val="21"/>
          <w:highlight w:val="none"/>
          <w:lang w:val="en-US" w:eastAsia="zh-CN"/>
        </w:rPr>
        <w:t xml:space="preserve">6</w:t>
      </w:r>
      <w:r>
        <w:rPr>
          <w:rStyle w:val="731"/>
          <w:rFonts w:hint="eastAsia" w:ascii="宋体" w:hAnsi="宋体" w:cs="宋体"/>
          <w:szCs w:val="21"/>
          <w:highlight w:val="none"/>
        </w:rPr>
        <w:t xml:space="preserve">年</w:t>
      </w:r>
      <w:r>
        <w:rPr>
          <w:rStyle w:val="731"/>
          <w:rFonts w:hint="eastAsia" w:ascii="宋体" w:hAnsi="宋体" w:cs="宋体"/>
          <w:szCs w:val="21"/>
          <w:highlight w:val="none"/>
          <w:lang w:val="en-US" w:eastAsia="zh-CN"/>
        </w:rPr>
        <w:t xml:space="preserve">1</w:t>
      </w:r>
      <w:r>
        <w:rPr>
          <w:rStyle w:val="731"/>
          <w:rFonts w:hint="eastAsia" w:ascii="宋体" w:hAnsi="宋体" w:cs="宋体"/>
          <w:szCs w:val="21"/>
          <w:highlight w:val="none"/>
        </w:rPr>
        <w:t xml:space="preserve">月</w:t>
      </w:r>
      <w:r>
        <w:rPr>
          <w:rStyle w:val="731"/>
          <w:rFonts w:hint="eastAsia" w:ascii="宋体" w:hAnsi="宋体" w:cs="宋体"/>
          <w:szCs w:val="21"/>
          <w:highlight w:val="none"/>
        </w:rPr>
        <w:fldChar w:fldCharType="end"/>
      </w:r>
      <w:r>
        <w:rPr>
          <w:rStyle w:val="731"/>
          <w:rFonts w:hint="eastAsia" w:ascii="宋体" w:hAnsi="宋体" w:cs="宋体"/>
          <w:szCs w:val="21"/>
          <w:highlight w:val="none"/>
          <w:lang w:val="en-US" w:eastAsia="zh-CN"/>
        </w:rPr>
        <w:t xml:space="preserve">30</w:t>
      </w:r>
      <w:r>
        <w:rPr>
          <w:rStyle w:val="731"/>
          <w:rFonts w:hint="eastAsia" w:ascii="宋体" w:hAnsi="宋体" w:cs="宋体"/>
          <w:szCs w:val="21"/>
          <w:highlight w:val="none"/>
        </w:rPr>
        <w:t xml:space="preserve">日</w:t>
      </w:r>
      <w:r>
        <w:rPr>
          <w:rFonts w:hint="eastAsia" w:ascii="宋体" w:hAnsi="宋体" w:cs="宋体"/>
          <w:bCs/>
          <w:color w:val="0000ff"/>
          <w:szCs w:val="21"/>
          <w:highlight w:val="none"/>
          <w:u w:val="single"/>
        </w:rPr>
        <w:t xml:space="preserve">9点30分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JSZC-320583-RHZH-G2026-0001</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2026年度昆山高新区公共自行车运营服务</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3、预算金额：</w:t>
      </w:r>
      <w:r>
        <w:rPr>
          <w:rFonts w:hint="eastAsia" w:ascii="宋体" w:hAnsi="宋体"/>
          <w:color w:val="0000ff"/>
          <w:szCs w:val="21"/>
          <w:highlight w:val="none"/>
          <w:lang w:val="en-US" w:eastAsia="zh-CN"/>
        </w:rPr>
        <w:t xml:space="preserve">1000万元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4、最高限价：</w:t>
      </w:r>
      <w:r>
        <w:rPr>
          <w:rFonts w:hint="eastAsia" w:ascii="宋体" w:hAnsi="宋体"/>
          <w:color w:val="0000ff"/>
          <w:szCs w:val="21"/>
          <w:highlight w:val="none"/>
          <w:lang w:val="en-US" w:eastAsia="zh-CN"/>
        </w:rPr>
        <w:t xml:space="preserve">无</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Cs w:val="21"/>
          <w:highlight w:val="none"/>
        </w:rPr>
      </w:pPr>
      <w:r>
        <w:rPr>
          <w:rFonts w:hint="eastAsia" w:ascii="宋体" w:hAnsi="宋体" w:cs="宋体"/>
          <w:bCs/>
          <w:color w:val="auto"/>
          <w:szCs w:val="21"/>
          <w:highlight w:val="none"/>
        </w:rPr>
        <w:t xml:space="preserve">5、采</w:t>
      </w:r>
      <w:r>
        <w:rPr>
          <w:rFonts w:hint="eastAsia" w:ascii="宋体" w:hAnsi="宋体" w:cs="宋体"/>
          <w:bCs/>
          <w:szCs w:val="21"/>
          <w:highlight w:val="none"/>
        </w:rPr>
        <w:t xml:space="preserve">购需求：详见招标文件。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6、合同履行期限：</w:t>
      </w:r>
      <w:r>
        <w:rPr>
          <w:rFonts w:hint="eastAsia" w:ascii="宋体" w:hAnsi="宋体" w:cs="宋体"/>
          <w:bCs/>
          <w:szCs w:val="21"/>
          <w:highlight w:val="none"/>
          <w:lang w:eastAsia="zh-CN"/>
        </w:rPr>
        <w:t xml:space="preserve">详见招标文件</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7、本项目（是/否）接受联合体投标：</w:t>
      </w:r>
      <w:r>
        <w:rPr>
          <w:rFonts w:hint="eastAsia" w:ascii="宋体" w:hAnsi="宋体" w:cs="宋体"/>
          <w:bCs/>
          <w:szCs w:val="21"/>
          <w:highlight w:val="none"/>
          <w:lang w:eastAsia="zh-CN"/>
        </w:rPr>
        <w:t xml:space="preserve">不</w:t>
      </w:r>
      <w:r>
        <w:rPr>
          <w:rFonts w:hint="eastAsia" w:ascii="宋体" w:hAnsi="宋体" w:cs="宋体"/>
          <w:bCs/>
          <w:szCs w:val="21"/>
          <w:highlight w:val="none"/>
        </w:rPr>
        <w:t xml:space="preserve">接受联合体。</w:t>
      </w:r>
      <w:r/>
    </w:p>
    <w:p>
      <w:pPr>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w:t>
      </w:r>
      <w:bookmarkStart w:id="1" w:name="_Toc35393622"/>
      <w:r/>
      <w:bookmarkStart w:id="2" w:name="_Toc38985264"/>
      <w:r/>
      <w:bookmarkStart w:id="3" w:name="_Toc35393791"/>
      <w:r/>
      <w:bookmarkStart w:id="4" w:name="_Toc28359080"/>
      <w:r/>
      <w:bookmarkStart w:id="5" w:name="_Toc28359003"/>
      <w:r>
        <w:rPr>
          <w:rFonts w:hint="eastAsia" w:ascii="宋体" w:hAnsi="宋体" w:cs="宋体"/>
          <w:bCs/>
          <w:color w:val="000000"/>
          <w:szCs w:val="21"/>
          <w:highlight w:val="none"/>
          <w:lang w:val="en-US" w:eastAsia="zh-CN"/>
        </w:rPr>
        <w:t xml:space="preserve">履约保证金：无</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rPr>
        <w:t xml:space="preserve">1、具有独立承担民事责任的能力；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rPr>
        <w:t xml:space="preserve">5、参加政府采购活动前三年内，在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lang w:eastAsia="zh-CN"/>
        </w:rPr>
      </w:pPr>
      <w:r>
        <w:rPr>
          <w:rFonts w:hint="eastAsia" w:ascii="宋体" w:hAnsi="宋体" w:eastAsia="宋体" w:cs="宋体"/>
          <w:color w:val="000000" w:themeColor="text1"/>
          <w:szCs w:val="21"/>
          <w:highlight w:val="none"/>
          <w14:textFill>
            <w14:solidFill>
              <w14:schemeClr w14:val="tx1"/>
            </w14:solidFill>
          </w14:textFill>
        </w:rPr>
        <w:t xml:space="preserve">未被“信</w:t>
      </w:r>
      <w:r>
        <w:rPr>
          <w:rFonts w:hint="eastAsia" w:ascii="宋体" w:hAnsi="宋体" w:cs="宋体"/>
          <w:color w:val="000000" w:themeColor="text1"/>
          <w:szCs w:val="21"/>
          <w14:textFill>
            <w14:solidFill>
              <w14:schemeClr w14:val="tx1"/>
            </w14:solidFill>
          </w14:textFill>
        </w:rPr>
        <w:t xml:space="preserve">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ascii="宋体" w:hAnsi="宋体"/>
          <w:color w:val="000000" w:themeColor="text1"/>
          <w:szCs w:val="21"/>
          <w:highlight w:val="none"/>
          <w14:textFill>
            <w14:solidFill>
              <w14:schemeClr w14:val="tx1"/>
            </w14:solidFill>
          </w14:textFill>
        </w:rPr>
        <w:t xml:space="preserve">上网之日起</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个工作日</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color w:val="0000ff"/>
          <w:szCs w:val="21"/>
          <w:highlight w:val="none"/>
        </w:rPr>
        <w:t xml:space="preserve">202</w:t>
      </w:r>
      <w:r>
        <w:rPr>
          <w:rFonts w:hint="eastAsia" w:ascii="宋体" w:hAnsi="宋体" w:cs="宋体"/>
          <w:color w:val="0000ff"/>
          <w:szCs w:val="21"/>
          <w:highlight w:val="none"/>
          <w:lang w:val="en-US" w:eastAsia="zh-CN"/>
        </w:rPr>
        <w:t xml:space="preserve">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1</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30</w:t>
      </w:r>
      <w:r>
        <w:rPr>
          <w:rFonts w:hint="eastAsia" w:ascii="宋体" w:hAnsi="宋体" w:cs="宋体"/>
          <w:color w:val="0000ff"/>
          <w:szCs w:val="21"/>
          <w:highlight w:val="none"/>
        </w:rPr>
        <w:t xml:space="preserve">日09:3</w:t>
      </w:r>
      <w:bookmarkStart w:id="33" w:name="_GoBack"/>
      <w:r/>
      <w:bookmarkEnd w:id="33"/>
      <w:r>
        <w:rPr>
          <w:rFonts w:hint="eastAsia" w:ascii="宋体" w:hAnsi="宋体" w:cs="宋体"/>
          <w:color w:val="0000ff"/>
          <w:szCs w:val="21"/>
          <w:highlight w:val="none"/>
        </w:rPr>
        <w:t xml:space="preserve">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1、CA证书办理</w:t>
      </w:r>
      <w:r/>
    </w:p>
    <w:p>
      <w:pPr>
        <w:ind w:firstLine="420"/>
        <w:jc w:val="left"/>
        <w:spacing w:line="360" w:lineRule="auto"/>
        <w:rPr>
          <w:rFonts w:ascii="宋体" w:hAnsi="宋体" w:cs="宋体"/>
          <w:color w:val="000000"/>
          <w:szCs w:val="21"/>
          <w:highlight w:val="yellow"/>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auto"/>
          <w:szCs w:val="21"/>
          <w:highlight w:val="none"/>
        </w:rPr>
        <w:t xml:space="preserve">苏州现场办理地址：苏州高新区邓尉路</w:t>
      </w:r>
      <w:r>
        <w:rPr>
          <w:rFonts w:hint="eastAsia" w:ascii="宋体" w:hAnsi="宋体" w:cs="宋体"/>
          <w:color w:val="auto"/>
          <w:szCs w:val="21"/>
          <w:highlight w:val="none"/>
          <w:lang w:val="en-US"/>
        </w:rPr>
        <w:t xml:space="preserve">105</w:t>
      </w:r>
      <w:r>
        <w:rPr>
          <w:rFonts w:hint="eastAsia" w:ascii="宋体" w:hAnsi="宋体" w:cs="宋体"/>
          <w:color w:val="auto"/>
          <w:szCs w:val="21"/>
          <w:highlight w:val="none"/>
        </w:rPr>
        <w:t xml:space="preserve">号狮山科技馆</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楼服务大厅，咨询电话：</w:t>
      </w:r>
      <w:r>
        <w:rPr>
          <w:rFonts w:hint="eastAsia" w:ascii="宋体" w:hAnsi="宋体" w:cs="宋体"/>
          <w:color w:val="auto"/>
          <w:szCs w:val="21"/>
          <w:highlight w:val="none"/>
          <w:lang w:val="en-US" w:eastAsia="zh-CN"/>
        </w:rPr>
        <w:t xml:space="preserve">0512-</w:t>
      </w:r>
      <w:r>
        <w:rPr>
          <w:rFonts w:hint="eastAsia" w:ascii="宋体" w:hAnsi="宋体" w:cs="宋体"/>
          <w:color w:val="auto"/>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供应商插入CA证书登陆“苏采云”系统后选择具体项目，点击“我要参与”并签章提交《投标供应商确认函》，提交《投标供应商确认函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rPr>
        <w:t xml:space="preserve">1、采购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昆山高新技术产业开发区管理委员会</w:t>
      </w:r>
      <w:r/>
    </w:p>
    <w:p>
      <w:pPr>
        <w:ind w:firstLine="420"/>
        <w:jc w:val="left"/>
        <w:spacing w:line="360" w:lineRule="auto"/>
        <w:rPr>
          <w:rFonts w:hint="eastAsia" w:ascii="宋体" w:hAnsi="宋体" w:cs="宋体"/>
          <w:bCs/>
          <w:color w:val="000000"/>
          <w:szCs w:val="21"/>
          <w:highlight w:val="none"/>
          <w:lang w:eastAsia="zh-CN"/>
        </w:rPr>
      </w:pPr>
      <w:r>
        <w:rPr>
          <w:rFonts w:hint="eastAsia" w:ascii="宋体" w:hAnsi="宋体" w:cs="宋体"/>
          <w:bCs/>
          <w:color w:val="auto"/>
          <w:szCs w:val="21"/>
          <w:highlight w:val="none"/>
        </w:rPr>
        <w:t xml:space="preserve">单位地址：昆山市前进西路1899号</w:t>
      </w:r>
      <w:r>
        <w:rPr>
          <w:rFonts w:hint="eastAsia" w:ascii="宋体" w:hAnsi="宋体" w:eastAsia="宋体" w:cs="宋体"/>
          <w:bCs/>
          <w:color w:val="000000"/>
          <w:szCs w:val="21"/>
          <w:highlight w:val="none"/>
          <w:lang w:val="en-US" w:eastAsia="zh-CN"/>
        </w:rPr>
        <w:t xml:space="preserve"> </w:t>
      </w:r>
      <w:r>
        <w:rPr>
          <w:rFonts w:hint="eastAsia" w:ascii="宋体" w:hAnsi="宋体" w:cs="宋体"/>
          <w:bCs/>
          <w:color w:val="000000"/>
          <w:szCs w:val="21"/>
          <w:highlight w:val="none"/>
          <w:lang w:eastAsia="zh-CN"/>
        </w:rPr>
        <w:t xml:space="preserve"> </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联系人：马俊侠</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rPr>
        <w:t xml:space="preserve">0512-</w:t>
      </w:r>
      <w:r>
        <w:rPr>
          <w:rFonts w:hint="eastAsia" w:ascii="宋体" w:hAnsi="宋体" w:cs="宋体"/>
          <w:bCs/>
          <w:color w:val="auto"/>
          <w:szCs w:val="21"/>
          <w:lang w:val="en-US" w:eastAsia="zh-CN"/>
        </w:rPr>
        <w:t xml:space="preserve">50101992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color w:val="auto"/>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2、采购代理机构信息</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江苏仁合中惠工程咨询有限公司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w:t>
      </w:r>
      <w:bookmarkStart w:id="7" w:name="OLE_LINK8"/>
      <w:r/>
      <w:bookmarkStart w:id="8" w:name="OLE_LINK9"/>
      <w:r>
        <w:rPr>
          <w:rFonts w:hint="eastAsia" w:ascii="宋体" w:hAnsi="宋体" w:cs="宋体"/>
          <w:bCs/>
          <w:color w:val="auto"/>
          <w:szCs w:val="21"/>
          <w:highlight w:val="none"/>
        </w:rPr>
        <w:t xml:space="preserve">昆山市登云路288号海创大厦C座10层</w:t>
      </w:r>
      <w:bookmarkEnd w:id="7"/>
      <w:r/>
      <w:bookmarkEnd w:id="8"/>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钱磊</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0512-36872966</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w:t>
      </w:r>
      <w:r>
        <w:rPr>
          <w:rFonts w:hint="eastAsia" w:ascii="宋体" w:hAnsi="宋体" w:cs="宋体"/>
          <w:bCs/>
          <w:color w:val="auto"/>
          <w:szCs w:val="21"/>
          <w:highlight w:val="none"/>
          <w:lang w:eastAsia="zh-CN"/>
        </w:rPr>
        <w:t xml:space="preserve">钱磊</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w:t>
      </w:r>
      <w:r>
        <w:rPr>
          <w:rFonts w:hint="eastAsia" w:ascii="宋体" w:hAnsi="宋体" w:cs="宋体"/>
          <w:color w:val="auto"/>
          <w:szCs w:val="21"/>
          <w:highlight w:val="none"/>
        </w:rPr>
        <w:t xml:space="preserve">36872966</w:t>
      </w:r>
      <w:r>
        <w:rPr>
          <w:rFonts w:hint="eastAsia" w:ascii="宋体" w:hAnsi="宋体" w:cs="宋体"/>
          <w:bCs/>
          <w:color w:val="auto"/>
          <w:szCs w:val="21"/>
          <w:highlight w:val="none"/>
        </w:rPr>
        <w:t xml:space="preserve">  </w:t>
      </w:r>
      <w:r/>
    </w:p>
    <w:p>
      <w:pPr>
        <w:ind w:firstLine="420"/>
        <w:jc w:val="center"/>
        <w:spacing w:line="360" w:lineRule="auto"/>
        <w:rPr>
          <w:rFonts w:ascii="宋体" w:hAnsi="宋体" w:eastAsia="宋体" w:cs="宋体"/>
          <w:b/>
          <w:bCs/>
          <w:color w:val="000000"/>
          <w:sz w:val="28"/>
          <w:szCs w:val="28"/>
          <w:highlight w:val="none"/>
        </w:rPr>
      </w:pPr>
      <w:r/>
      <w:bookmarkStart w:id="9" w:name="_Ref66451523"/>
      <w:r>
        <w:rPr>
          <w:rFonts w:hint="eastAsia" w:ascii="宋体" w:hAnsi="宋体" w:eastAsia="宋体" w:cs="宋体"/>
          <w:b/>
          <w:bCs/>
          <w:color w:val="000000"/>
          <w:sz w:val="28"/>
          <w:szCs w:val="28"/>
          <w:highlight w:val="none"/>
        </w:rPr>
        <w:t xml:space="preserve">第二章  投标供应商须知</w:t>
      </w:r>
      <w:bookmarkEnd w:id="9"/>
      <w:r/>
      <w:r/>
    </w:p>
    <w:p>
      <w:pPr>
        <w:pStyle w:val="912"/>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1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1、说明</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w:t>
      </w:r>
      <w:r>
        <w:rPr>
          <w:rFonts w:hint="eastAsia" w:ascii="宋体" w:hAnsi="宋体" w:eastAsia="宋体" w:cs="宋体"/>
          <w:color w:val="000000"/>
          <w:sz w:val="21"/>
          <w:szCs w:val="21"/>
          <w:highlight w:val="none"/>
          <w:lang w:eastAsia="zh-CN"/>
        </w:rPr>
        <w:t xml:space="preserve">江苏仁合中惠工程咨询有限公司</w:t>
      </w:r>
      <w:r>
        <w:rPr>
          <w:rFonts w:hint="eastAsia" w:ascii="宋体" w:hAnsi="宋体" w:eastAsia="宋体" w:cs="宋体"/>
          <w:color w:val="000000"/>
          <w:sz w:val="21"/>
          <w:szCs w:val="21"/>
          <w:highlight w:val="none"/>
        </w:rPr>
        <w:t xml:space="preserve">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lang w:eastAsia="zh-CN"/>
        </w:rPr>
        <w:t xml:space="preserve">江苏仁合中惠工程咨询有限公司</w:t>
      </w:r>
      <w:r>
        <w:rPr>
          <w:rFonts w:hint="eastAsia" w:ascii="宋体" w:hAnsi="宋体" w:eastAsia="宋体" w:cs="宋体"/>
          <w:color w:val="000000"/>
          <w:sz w:val="21"/>
          <w:szCs w:val="21"/>
          <w:highlight w:val="none"/>
        </w:rPr>
        <w:t xml:space="preserve">。</w:t>
      </w:r>
      <w:r/>
    </w:p>
    <w:p>
      <w:pPr>
        <w:pStyle w:val="91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2、词语释义</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12"/>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12"/>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bCs/>
          <w:color w:val="000000"/>
          <w:szCs w:val="21"/>
          <w:highlight w:val="none"/>
        </w:rPr>
        <w:t xml:space="preserve">勘察现场所发生的费用由投标供应商自行承担。</w:t>
      </w:r>
      <w:r/>
    </w:p>
    <w:p>
      <w:pPr>
        <w:pStyle w:val="91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1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的项目现场，但投标供应商不得因此使招标人承担有关的责任和蒙受损失。投标供应商应承担勘察现场的责任和风险。</w:t>
      </w:r>
      <w:r/>
    </w:p>
    <w:p>
      <w:pPr>
        <w:pStyle w:val="91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2、投标供应商应按《公开分项报价》中的采购项目计算单价和总价。《公开分项报价》中的每一单项均应计算并填写单价和总价，并由法定代表人（或经营者等）或被授权人签署。</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eastAsia="宋体" w:cs="宋体"/>
          <w:b/>
          <w:bCs/>
          <w:i w:val="0"/>
          <w:iCs w:val="0"/>
          <w:color w:val="0000ff"/>
          <w:szCs w:val="21"/>
          <w:highlight w:val="none"/>
          <w:u w:val="none"/>
          <w:lang w:eastAsia="zh-CN"/>
        </w:rPr>
        <w:t xml:space="preserve">1、基本目录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eastAsia="宋体" w:cs="宋体"/>
          <w:b/>
          <w:bCs/>
          <w:color w:val="0000ff"/>
          <w:szCs w:val="21"/>
          <w:highlight w:val="none"/>
          <w:lang w:val="en-US" w:eastAsia="zh-CN"/>
        </w:rPr>
        <w:t xml:space="preserve">未被“信用中国”网站（www.creditchina.gov.cn）列入失信被执行人、重大税收违法失信主体名单、采购严重违法失信行为记录名单。（信用报告）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6</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5拟投入项目组人员一览表</w:t>
      </w:r>
      <w:r>
        <w:rPr>
          <w:rFonts w:hint="eastAsia" w:ascii="宋体" w:hAnsi="宋体" w:cs="宋体"/>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（格式见第三章）</w:t>
      </w:r>
      <w:r/>
    </w:p>
    <w:p>
      <w:pPr>
        <w:ind w:firstLine="420"/>
        <w:jc w:val="left"/>
        <w:spacing w:line="360" w:lineRule="auto"/>
        <w:rPr>
          <w:rFonts w:hint="eastAsia" w:ascii="宋体" w:hAnsi="宋体" w:eastAsia="宋体" w:cs="宋体"/>
          <w:b/>
          <w:bCs/>
          <w:color w:val="000000"/>
          <w:sz w:val="21"/>
          <w:szCs w:val="21"/>
          <w:lang w:eastAsia="zh-CN"/>
        </w:rPr>
      </w:pPr>
      <w:r>
        <w:rPr>
          <w:rFonts w:hint="eastAsia" w:ascii="宋体" w:hAnsi="宋体" w:cs="宋体"/>
          <w:bCs/>
          <w:i w:val="0"/>
          <w:iCs w:val="0"/>
          <w:color w:val="000000"/>
          <w:szCs w:val="21"/>
          <w:highlight w:val="none"/>
          <w:lang w:val="en-US" w:eastAsia="zh-CN"/>
        </w:rPr>
        <w:t xml:space="preserve">1.4.6拟投入设施设备一览表；（格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7</w:t>
      </w:r>
      <w:r>
        <w:rPr>
          <w:rFonts w:hint="eastAsia" w:ascii="宋体" w:hAnsi="宋体" w:cs="宋体"/>
          <w:i w:val="0"/>
          <w:iCs w:val="0"/>
          <w:color w:val="000000"/>
          <w:szCs w:val="21"/>
          <w:highlight w:val="none"/>
        </w:rPr>
        <w:t xml:space="preserve">授权委托书、双方身份证、投标供应商近期为被授权人缴纳社保的证明；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8</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w:t>
      </w:r>
      <w:r>
        <w:rPr>
          <w:rFonts w:hint="eastAsia" w:ascii="宋体" w:hAnsi="宋体" w:cs="宋体"/>
          <w:bCs/>
          <w:i w:val="0"/>
          <w:iCs w:val="0"/>
          <w:color w:val="000000"/>
          <w:szCs w:val="21"/>
          <w:highlight w:val="none"/>
          <w:lang w:val="en-US" w:eastAsia="zh-CN"/>
        </w:rPr>
        <w:t xml:space="preserve">5.1类似业绩一览表</w:t>
      </w:r>
      <w:r>
        <w:rPr>
          <w:rFonts w:hint="eastAsia" w:ascii="宋体" w:hAnsi="宋体" w:cs="宋体"/>
          <w:i w:val="0"/>
          <w:iCs w:val="0"/>
          <w:color w:val="000000"/>
          <w:szCs w:val="21"/>
          <w:highlight w:val="none"/>
        </w:rPr>
        <w:t xml:space="preserve">；（格式见第三章）</w:t>
      </w:r>
      <w:r/>
    </w:p>
    <w:p>
      <w:pPr>
        <w:pStyle w:val="994"/>
        <w:numPr>
          <w:ilvl w:val="0"/>
          <w:numId w:val="0"/>
        </w:numPr>
        <w:ind w:firstLine="422"/>
        <w:pageBreakBefore w:val="0"/>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w:t>
      </w:r>
      <w:r>
        <w:rPr>
          <w:rFonts w:hint="eastAsia" w:ascii="宋体" w:hAnsi="宋体" w:cs="宋体"/>
          <w:bCs/>
          <w:i w:val="0"/>
          <w:iCs w:val="0"/>
          <w:color w:val="000000"/>
          <w:szCs w:val="21"/>
          <w:highlight w:val="none"/>
          <w:lang w:val="en-US" w:eastAsia="zh-CN"/>
        </w:rPr>
        <w:t xml:space="preserve">5.2</w:t>
      </w:r>
      <w:r>
        <w:rPr>
          <w:rFonts w:hint="eastAsia" w:ascii="宋体" w:hAnsi="宋体" w:cs="宋体"/>
          <w:b/>
          <w:bCs w:val="0"/>
          <w:i w:val="0"/>
          <w:iCs w:val="0"/>
          <w:color w:val="000000"/>
          <w:szCs w:val="21"/>
          <w:highlight w:val="none"/>
          <w:lang w:eastAsia="zh-CN"/>
        </w:rPr>
        <w:t xml:space="preserve">评分标准中要求提供的技术方案、材料等</w:t>
      </w:r>
      <w:r/>
    </w:p>
    <w:p>
      <w:pPr>
        <w:pStyle w:val="994"/>
        <w:numPr>
          <w:ilvl w:val="0"/>
          <w:numId w:val="0"/>
        </w:numPr>
        <w:ind w:firstLine="422"/>
        <w:pageBreakBefore w:val="0"/>
        <w:spacing w:line="360" w:lineRule="auto"/>
        <w:rPr>
          <w:rFonts w:ascii="宋体" w:hAnsi="宋体"/>
          <w:b/>
          <w:bCs/>
          <w:sz w:val="21"/>
          <w:szCs w:val="21"/>
        </w:rPr>
      </w:pPr>
      <w:r>
        <w:rPr>
          <w:rFonts w:hint="eastAsia" w:ascii="宋体" w:hAnsi="宋体"/>
          <w:b/>
          <w:bCs/>
          <w:sz w:val="21"/>
          <w:szCs w:val="21"/>
          <w:lang w:val="en-US" w:eastAsia="zh-CN"/>
        </w:rPr>
        <w:t xml:space="preserve">2.</w:t>
      </w:r>
      <w:r>
        <w:rPr>
          <w:rFonts w:hint="eastAsia" w:ascii="宋体" w:hAnsi="宋体"/>
          <w:b/>
          <w:bCs/>
          <w:sz w:val="21"/>
          <w:szCs w:val="21"/>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rPr>
        <w:t xml:space="preserve">若本次采购货物中包含有《节能产品政府采购品目清单》中规定的政府强制采购产品的，</w:t>
      </w:r>
      <w:r>
        <w:rPr>
          <w:rFonts w:hint="default" w:ascii="Times New Roman" w:hAnsi="Times New Roman" w:cs="Times New Roman"/>
          <w:color w:val="000000"/>
          <w:szCs w:val="21"/>
          <w:lang w:val="en-US" w:eastAsia="zh-CN"/>
        </w:rPr>
        <w:t xml:space="preserve">供应商</w:t>
      </w:r>
      <w:r>
        <w:rPr>
          <w:rFonts w:hint="default" w:ascii="Times New Roman" w:hAnsi="Times New Roman" w:cs="Times New Roman"/>
          <w:color w:val="000000"/>
          <w:szCs w:val="21"/>
        </w:rPr>
        <w:t xml:space="preserve">须在投标文件中提供产品有效期内的认证证书扫描件等相关证明材料，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94"/>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w:t>
      </w:r>
      <w:r>
        <w:rPr>
          <w:rFonts w:hint="eastAsia" w:ascii="宋体" w:hAnsi="宋体"/>
          <w:b/>
          <w:szCs w:val="21"/>
          <w:lang w:eastAsia="zh-CN"/>
        </w:rPr>
        <w:t xml:space="preserve">按格式要求</w:t>
      </w:r>
      <w:r>
        <w:rPr>
          <w:rFonts w:hint="eastAsia" w:ascii="宋体" w:hAnsi="宋体"/>
          <w:b/>
          <w:szCs w:val="21"/>
        </w:rPr>
        <w:t xml:space="preserve">加盖电子章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w:t>
      </w:r>
      <w:r>
        <w:rPr>
          <w:rFonts w:hint="eastAsia" w:ascii="宋体" w:hAnsi="宋体"/>
          <w:b/>
          <w:szCs w:val="21"/>
          <w:lang w:eastAsia="zh-CN"/>
        </w:rPr>
        <w:t xml:space="preserve">按格式要求</w:t>
      </w:r>
      <w:r>
        <w:rPr>
          <w:rFonts w:hint="eastAsia" w:ascii="宋体" w:hAnsi="宋体"/>
          <w:b/>
          <w:szCs w:val="21"/>
        </w:rPr>
        <w:t xml:space="preserve">加盖电子章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在开、评标全过程中应保持通讯畅通，及时登录苏采云系统查阅、答复相关信息，并安排专人与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4</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评审过程中出现下列情形之一的，评审委员会应当启动异常低价响应审查程序：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7.1响应报价低于采购项目预算50%的，即响应报价&lt;采购项目预算×50%；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7.2响应报价低于采购项目最高限价45%的，即响应报价&lt;采购项目最高限价×45%；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7.3评审委员会认定的供应商报价过低、有可能影响产品质量或者不能诚信履约的其他情形。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8、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rPr>
        <w:t xml:space="preserve">1、在采购过程中，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1、中标服务费：中标人</w:t>
      </w:r>
      <w:r>
        <w:rPr>
          <w:rFonts w:hint="eastAsia" w:ascii="宋体" w:hAnsi="宋体" w:cs="宋体"/>
          <w:color w:val="000000"/>
          <w:szCs w:val="21"/>
          <w:highlight w:val="none"/>
          <w:lang w:val="zh-CN"/>
        </w:rPr>
        <w:t xml:space="preserve">根据</w:t>
      </w:r>
      <w:r>
        <w:rPr>
          <w:rFonts w:hint="eastAsia" w:ascii="宋体" w:hAnsi="宋体" w:cs="宋体"/>
          <w:color w:val="000000"/>
          <w:szCs w:val="21"/>
          <w:highlight w:val="none"/>
          <w:lang w:val="zh-CN" w:eastAsia="zh-CN"/>
        </w:rPr>
        <w:t xml:space="preserve">项目</w:t>
      </w:r>
      <w:r>
        <w:rPr>
          <w:rFonts w:hint="eastAsia" w:ascii="宋体" w:hAnsi="宋体" w:cs="宋体"/>
          <w:color w:val="000000"/>
          <w:szCs w:val="21"/>
          <w:highlight w:val="none"/>
          <w:lang w:val="zh-CN"/>
        </w:rPr>
        <w:t xml:space="preserve">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highlight w:val="none"/>
        </w:rPr>
        <w:t xml:space="preserve">该费用应在领取中标通知书前付清。中标人如果未按规定交纳中标服务费，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保留诉讼的权利。</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2、监督和公证：政府采购管理部门和有关监督部门将对招投标全过程进行监督。</w:t>
      </w:r>
      <w:r/>
    </w:p>
    <w:p>
      <w:pPr>
        <w:pStyle w:val="91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10"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03"/>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10"/>
      <w:r/>
      <w:bookmarkStart w:id="11" w:name="gpcItem_SubmitDocStruct"/>
      <w:r>
        <w:rPr>
          <w:rFonts w:hint="eastAsia" w:ascii="宋体" w:hAnsi="宋体" w:eastAsia="宋体" w:cs="宋体"/>
          <w:color w:val="000000"/>
          <w:sz w:val="28"/>
          <w:szCs w:val="28"/>
          <w:highlight w:val="none"/>
        </w:rPr>
        <w:t xml:space="preserve">  </w:t>
      </w:r>
      <w:bookmarkEnd w:id="11"/>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2"/>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12"/>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8"/>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vAlign w:val="top"/>
            <w:textDirection w:val="lrTb"/>
            <w:noWrap w:val="false"/>
          </w:tcPr>
          <w:p>
            <w:pPr>
              <w:pStyle w:val="689"/>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vAlign w:val="top"/>
            <w:textDirection w:val="lrTb"/>
            <w:noWrap w:val="false"/>
          </w:tcPr>
          <w:p>
            <w:pPr>
              <w:pStyle w:val="91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bl>
    <w:p>
      <w:pPr>
        <w:pStyle w:val="912"/>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04"/>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2" w:name="_Ref516487913"/>
      <w:r>
        <w:rPr>
          <w:rFonts w:hint="eastAsia" w:ascii="宋体" w:hAnsi="宋体" w:cs="宋体"/>
          <w:color w:val="000000"/>
          <w:sz w:val="21"/>
          <w:szCs w:val="21"/>
          <w:highlight w:val="none"/>
        </w:rPr>
        <w:t xml:space="preserve">一、开标一览表</w:t>
      </w:r>
      <w:bookmarkEnd w:id="12"/>
      <w:r/>
      <w:r/>
    </w:p>
    <w:p>
      <w:pPr>
        <w:pStyle w:val="912"/>
        <w:ind w:firstLine="0"/>
        <w:jc w:val="center"/>
        <w:spacing w:line="360" w:lineRule="auto"/>
        <w:rPr>
          <w:rFonts w:ascii="宋体" w:hAnsi="宋体" w:eastAsia="宋体" w:cs="宋体"/>
          <w:b/>
          <w:bCs/>
          <w:color w:val="000000"/>
          <w:sz w:val="21"/>
          <w:szCs w:val="21"/>
          <w:highlight w:val="none"/>
        </w:rPr>
      </w:pPr>
      <w:r/>
      <w:bookmarkStart w:id="13" w:name="gpcItem_price_Horizontal"/>
      <w:r/>
      <w:bookmarkEnd w:id="13"/>
      <w:r/>
      <w:r/>
    </w:p>
    <w:p>
      <w:pPr>
        <w:pStyle w:val="1022"/>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12"/>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12"/>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12"/>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val="en-US" w:eastAsia="zh-CN"/>
        </w:rPr>
        <w:t xml:space="preserve">/</w:t>
      </w:r>
      <w:r/>
    </w:p>
    <w:tbl>
      <w:tblPr>
        <w:tblStyle w:val="698"/>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20"/>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20"/>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1、开标一览表必须加盖投标供应商公章（复印件无效）。</w:t>
      </w:r>
      <w:r/>
    </w:p>
    <w:p>
      <w:pPr>
        <w:pStyle w:val="1020"/>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2、如有分包，投标供应商投任何一个包的标的，都需单独填写开标一览表。</w:t>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12"/>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73"/>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73"/>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73"/>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江苏仁合中惠工程咨询有限公司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73"/>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73"/>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pStyle w:val="912"/>
        <w:ind w:firstLine="0"/>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公开分项报价</w:t>
      </w:r>
      <w:r/>
    </w:p>
    <w:p>
      <w:pPr>
        <w:rPr>
          <w:rFonts w:hint="eastAsia"/>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69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1350"/>
        <w:gridCol w:w="1383"/>
        <w:gridCol w:w="1797"/>
        <w:gridCol w:w="1011"/>
      </w:tblGrid>
      <w:tr>
        <w:trPr>
          <w:cantSplit/>
          <w:jc w:val="center"/>
        </w:trPr>
        <w:tc>
          <w:tcPr>
            <w:tcW w:w="768" w:type="dxa"/>
            <w:vAlign w:val="center"/>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W w:w="2755" w:type="dxa"/>
            <w:vAlign w:val="center"/>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名称</w:t>
            </w:r>
            <w:r/>
          </w:p>
        </w:tc>
        <w:tc>
          <w:tcPr>
            <w:tcW w:w="1350" w:type="dxa"/>
            <w:vAlign w:val="center"/>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eastAsia="zh-CN"/>
              </w:rPr>
              <w:t xml:space="preserve">数量</w:t>
            </w:r>
            <w:r/>
          </w:p>
        </w:tc>
        <w:tc>
          <w:tcPr>
            <w:tcW w:w="1383" w:type="dxa"/>
            <w:vAlign w:val="center"/>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单价（元）</w:t>
            </w:r>
            <w:r/>
          </w:p>
        </w:tc>
        <w:tc>
          <w:tcPr>
            <w:tcW w:w="1797" w:type="dxa"/>
            <w:vAlign w:val="center"/>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合价（元）</w:t>
            </w:r>
            <w:r/>
          </w:p>
        </w:tc>
        <w:tc>
          <w:tcPr>
            <w:tcW w:w="1011" w:type="dxa"/>
            <w:vAlign w:val="center"/>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w:t>
            </w:r>
            <w:r/>
          </w:p>
        </w:tc>
      </w:tr>
      <w:tr>
        <w:trPr>
          <w:cantSplit/>
          <w:jc w:val="center"/>
        </w:trPr>
        <w:tc>
          <w:tcPr>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人员费用</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场地租赁</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网络通讯</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自行车保险</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站点蓄电池</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调度车辆</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7</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自行车维保</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8</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锁车柱维保</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9</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基站控制器维保</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default"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10</w:t>
            </w:r>
            <w:r/>
          </w:p>
        </w:tc>
        <w:tc>
          <w:tcPr>
            <w:tcW w:w="2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i w:val="0"/>
                <w:iCs w:val="0"/>
                <w:color w:val="000000"/>
                <w:sz w:val="22"/>
                <w:szCs w:val="22"/>
                <w:highlight w:val="none"/>
                <w:u w:val="none"/>
                <w:lang w:eastAsia="zh-CN"/>
              </w:rPr>
              <w:t xml:space="preserve">管理费</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768" w:type="dxa"/>
            <w:vAlign w:val="top"/>
            <w:textDirection w:val="lrTb"/>
            <w:noWrap w:val="false"/>
          </w:tcPr>
          <w:p>
            <w:pPr>
              <w:pStyle w:val="995"/>
              <w:ind w:left="0" w:right="0"/>
              <w:jc w:val="center"/>
              <w:keepLines w:val="0"/>
              <w:keepNext w:val="0"/>
              <w:spacing w:before="0" w:beforeAutospacing="0" w:after="0" w:afterAutospacing="0" w:line="360" w:lineRule="exact"/>
              <w:rPr>
                <w:rFonts w:hint="default"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11</w:t>
            </w:r>
            <w:r/>
          </w:p>
        </w:tc>
        <w:tc>
          <w:tcPr>
            <w:tcW w:w="2755"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hAnsi="宋体" w:eastAsia="宋体" w:cs="宋体"/>
                <w:sz w:val="21"/>
                <w:szCs w:val="21"/>
                <w:highlight w:val="none"/>
                <w:lang w:eastAsia="zh-CN"/>
              </w:rPr>
              <w:t xml:space="preserve">税金</w:t>
            </w:r>
            <w:r/>
          </w:p>
        </w:tc>
        <w:tc>
          <w:tcPr>
            <w:tcW w:w="1350"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995"/>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64"/>
        </w:trPr>
        <w:tc>
          <w:tcPr>
            <w:gridSpan w:val="3"/>
            <w:tcW w:w="4873" w:type="dxa"/>
            <w:vAlign w:val="top"/>
            <w:textDirection w:val="lrTb"/>
            <w:noWrap w:val="false"/>
          </w:tcPr>
          <w:p>
            <w:pPr>
              <w:pStyle w:val="995"/>
              <w:ind w:left="0" w:right="0"/>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hAnsi="宋体" w:eastAsia="宋体" w:cs="宋体"/>
                <w:sz w:val="21"/>
                <w:szCs w:val="21"/>
                <w:highlight w:val="none"/>
                <w:lang w:eastAsia="zh-CN"/>
              </w:rPr>
              <w:t xml:space="preserve">投标总报价</w:t>
            </w:r>
            <w:r>
              <w:rPr>
                <w:rFonts w:hint="eastAsia" w:ascii="宋体" w:hAnsi="宋体" w:eastAsia="宋体" w:cs="宋体"/>
                <w:sz w:val="21"/>
                <w:szCs w:val="21"/>
                <w:highlight w:val="none"/>
              </w:rPr>
              <w:t xml:space="preserve">（人民币大写）：</w:t>
            </w:r>
            <w:r/>
          </w:p>
        </w:tc>
        <w:tc>
          <w:tcPr>
            <w:gridSpan w:val="3"/>
            <w:tcW w:w="4191" w:type="dxa"/>
            <w:vAlign w:val="top"/>
            <w:textDirection w:val="lrTb"/>
            <w:noWrap w:val="false"/>
          </w:tcPr>
          <w:p>
            <w:pPr>
              <w:pStyle w:val="995"/>
              <w:ind w:left="15" w:right="0"/>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小写：¥</w:t>
            </w:r>
            <w:r/>
          </w:p>
        </w:tc>
      </w:tr>
    </w:tbl>
    <w:p>
      <w:pPr>
        <w:pStyle w:val="973"/>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73"/>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73"/>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2、表格内容可根据实际情况进行适当修改，但必须包含全部服务内容。</w:t>
      </w:r>
      <w:r/>
    </w:p>
    <w:p>
      <w:pPr>
        <w:pStyle w:val="973"/>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73"/>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702"/>
        <w:jc w:val="both"/>
        <w:spacing w:line="360" w:lineRule="auto"/>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73"/>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江苏仁合中惠工程咨询有限公司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我方同意中标后按招标文件规定支付中标服务费。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73"/>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3"/>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4"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4"/>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1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8"/>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1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1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1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2024</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12"/>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12"/>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1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1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bookmarkStart w:id="15" w:name="_Ref36041954"/>
      <w:r/>
      <w:bookmarkStart w:id="16" w:name="_Ref66452472"/>
      <w:r/>
      <w:bookmarkStart w:id="17" w:name="_Ref360464497"/>
      <w:r/>
      <w:bookmarkStart w:id="18" w:name="_Toc313432879"/>
      <w:r/>
      <w:bookmarkStart w:id="19" w:name="_Ref516487925"/>
      <w:r>
        <w:rPr>
          <w:rFonts w:hint="eastAsia" w:ascii="宋体" w:hAnsi="宋体" w:cs="宋体"/>
          <w:color w:val="000000"/>
          <w:sz w:val="21"/>
          <w:szCs w:val="21"/>
          <w:highlight w:val="none"/>
        </w:rPr>
        <w:br w:type="page" w:clear="all"/>
      </w:r>
      <w:bookmarkEnd w:id="15"/>
      <w:r/>
      <w:bookmarkEnd w:id="16"/>
      <w:r/>
      <w:bookmarkEnd w:id="17"/>
      <w:r/>
      <w:bookmarkEnd w:id="18"/>
      <w:r/>
      <w:bookmarkEnd w:id="19"/>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12"/>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12"/>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698"/>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lang w:eastAsia="zh-CN"/>
              </w:rPr>
              <w:t xml:space="preserve">服务</w:t>
            </w:r>
            <w:r>
              <w:rPr>
                <w:rFonts w:hint="eastAsia" w:ascii="宋体" w:hAnsi="宋体" w:cs="宋体"/>
                <w:szCs w:val="21"/>
                <w:highlight w:val="none"/>
              </w:rPr>
              <w:t xml:space="preserve">时间</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付款方式</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shd w:val="clear" w:color="auto" w:fill="auto"/>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lang w:val="en-US" w:eastAsia="zh-CN"/>
              </w:rPr>
              <w:suppressLineNumbers w:val="0"/>
            </w:pPr>
            <w:r>
              <w:rPr>
                <w:rFonts w:hint="eastAsia" w:ascii="宋体" w:hAnsi="宋体" w:cs="宋体"/>
                <w:szCs w:val="21"/>
                <w:highlight w:val="none"/>
              </w:rPr>
              <w:t xml:space="preserve">...</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lang w:eastAsia="zh-CN"/>
              </w:rPr>
              <w:suppressLineNumbers w:val="0"/>
            </w:pPr>
            <w:r>
              <w:rPr>
                <w:rFonts w:hint="eastAsia" w:ascii="宋体" w:hAnsi="宋体" w:cs="宋体"/>
                <w:szCs w:val="21"/>
                <w:highlight w:val="none"/>
              </w:rPr>
              <w:t xml:space="preserve">...</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1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73"/>
        <w:ind w:firstLine="405"/>
        <w:spacing w:line="360" w:lineRule="auto"/>
        <w:rPr>
          <w:rFonts w:hAnsi="宋体" w:eastAsia="宋体" w:cs="宋体"/>
          <w:color w:val="000000"/>
          <w:sz w:val="21"/>
          <w:szCs w:val="21"/>
          <w:highlight w:val="none"/>
        </w:rPr>
      </w:pPr>
      <w:r/>
      <w:bookmarkStart w:id="20" w:name="_Ref516487982"/>
      <w:r/>
      <w:bookmarkStart w:id="21" w:name="_Ref22735804"/>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20"/>
      <w:r/>
      <w:bookmarkEnd w:id="21"/>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9"/>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698"/>
        <w:tblpPr w:horzAnchor="page" w:tblpX="1180" w:vertAnchor="text" w:tblpY="137" w:leftFromText="180" w:topFromText="0" w:rightFromText="180" w:bottomFromText="0"/>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970"/>
        <w:gridCol w:w="930"/>
        <w:gridCol w:w="1698"/>
        <w:gridCol w:w="1913"/>
      </w:tblGrid>
      <w:tr>
        <w:trPr>
          <w:trHeight w:val="454" w:hRule="exact"/>
        </w:trPr>
        <w:tc>
          <w:tcPr>
            <w:tcW w:w="941"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lang w:eastAsia="zh-CN"/>
              </w:rPr>
              <w:suppressLineNumbers w:val="0"/>
            </w:pPr>
            <w:r>
              <w:rPr>
                <w:rFonts w:hint="eastAsia" w:ascii="宋体" w:hAnsi="宋体" w:cs="宋体"/>
                <w:color w:val="000000"/>
                <w:sz w:val="21"/>
                <w:szCs w:val="21"/>
                <w:lang w:eastAsia="zh-CN"/>
              </w:rPr>
              <w:t xml:space="preserve">身份证号</w:t>
            </w:r>
            <w:r/>
          </w:p>
        </w:tc>
        <w:tc>
          <w:tcPr>
            <w:tcW w:w="97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lang w:eastAsia="zh-CN"/>
              </w:rPr>
              <w:suppressLineNumbers w:val="0"/>
            </w:pPr>
            <w:r>
              <w:rPr>
                <w:rFonts w:hint="eastAsia" w:ascii="宋体" w:hAnsi="宋体" w:cs="宋体"/>
                <w:color w:val="000000"/>
                <w:sz w:val="21"/>
                <w:szCs w:val="21"/>
                <w:lang w:eastAsia="zh-CN"/>
              </w:rPr>
              <w:t xml:space="preserve">年龄</w:t>
            </w:r>
            <w:r/>
          </w:p>
        </w:tc>
        <w:tc>
          <w:tcPr>
            <w:tcW w:w="93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学历</w:t>
            </w:r>
            <w:r/>
          </w:p>
        </w:tc>
        <w:tc>
          <w:tcPr>
            <w:tcW w:w="1698"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7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3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lang w:eastAsia="zh-CN"/>
              </w:rPr>
              <w:suppressLineNumbers w:val="0"/>
            </w:pPr>
            <w:r>
              <w:rPr>
                <w:rFonts w:hint="eastAsia" w:ascii="宋体" w:hAnsi="宋体" w:cs="宋体"/>
                <w:color w:val="000000"/>
                <w:sz w:val="21"/>
                <w:szCs w:val="21"/>
                <w:lang w:eastAsia="zh-CN"/>
              </w:rPr>
              <w:t xml:space="preserve">项目负责人</w:t>
            </w:r>
            <w:r/>
          </w:p>
        </w:tc>
      </w:tr>
      <w:tr>
        <w:trPr>
          <w:trHeight w:val="454" w:hRule="exact"/>
        </w:trPr>
        <w:tc>
          <w:tcPr>
            <w:tcW w:w="941"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7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3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7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3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7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3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7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30"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02"/>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pStyle w:val="973"/>
        <w:spacing w:line="360" w:lineRule="auto"/>
        <w:rPr>
          <w:rFonts w:hint="eastAsia" w:ascii="宋体" w:hAnsi="宋体" w:cs="宋体"/>
          <w:szCs w:val="21"/>
        </w:rPr>
      </w:pPr>
      <w:r>
        <w:rPr>
          <w:rFonts w:hint="eastAsia" w:ascii="宋体" w:hAnsi="宋体" w:cs="宋体"/>
          <w:szCs w:val="21"/>
        </w:rPr>
      </w:r>
      <w:r/>
    </w:p>
    <w:p>
      <w:pPr>
        <w:pStyle w:val="973"/>
        <w:spacing w:line="360" w:lineRule="auto"/>
        <w:rPr>
          <w:rFonts w:hint="eastAsia" w:ascii="宋体" w:hAnsi="宋体" w:cs="宋体"/>
          <w:szCs w:val="21"/>
        </w:rPr>
      </w:pPr>
      <w:r>
        <w:rPr>
          <w:rFonts w:hint="eastAsia" w:ascii="宋体" w:hAnsi="宋体" w:cs="宋体"/>
          <w:szCs w:val="21"/>
        </w:rPr>
      </w:r>
      <w:r/>
    </w:p>
    <w:p>
      <w:pPr>
        <w:pStyle w:val="973"/>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9"/>
        <w:numPr>
          <w:ilvl w:val="0"/>
          <w:numId w:val="0"/>
        </w:numPr>
        <w:spacing w:before="0" w:after="0" w:line="360" w:lineRule="auto"/>
        <w:rPr>
          <w:rFonts w:hint="eastAsia" w:ascii="宋体" w:hAnsi="宋体" w:eastAsia="宋体" w:cs="宋体"/>
          <w:b/>
          <w:bCs/>
          <w:color w:val="000000"/>
          <w:sz w:val="21"/>
          <w:szCs w:val="21"/>
          <w:lang w:eastAsia="zh-CN"/>
        </w:rPr>
      </w:pPr>
      <w:r/>
      <w:bookmarkStart w:id="22" w:name="_Ref61000701"/>
      <w:r/>
      <w:bookmarkStart w:id="23" w:name="_Ref416435073"/>
      <w:r/>
      <w:bookmarkStart w:id="24" w:name="_Ref381356329"/>
      <w:r/>
      <w:bookmarkStart w:id="25" w:name="_Ref445902493"/>
      <w:r/>
      <w:bookmarkStart w:id="26" w:name="_Ref533855056"/>
      <w:r>
        <w:rPr>
          <w:rFonts w:hint="eastAsia" w:ascii="宋体" w:hAnsi="宋体" w:eastAsia="宋体" w:cs="宋体"/>
          <w:b/>
          <w:bCs/>
          <w:color w:val="000000"/>
          <w:sz w:val="21"/>
          <w:szCs w:val="21"/>
          <w:lang w:eastAsia="zh-CN"/>
        </w:rPr>
        <w:t xml:space="preserve">八、拟投入设施设备一览表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698"/>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997"/>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73"/>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73"/>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689"/>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2"/>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69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lang w:val="en-US" w:eastAsia="zh-CN"/>
              </w:rPr>
              <w:suppressLineNumbers w:val="0"/>
            </w:pPr>
            <w:r>
              <w:rPr>
                <w:rFonts w:hint="eastAsia" w:ascii="宋体" w:hAnsi="宋体" w:cs="宋体"/>
                <w:szCs w:val="21"/>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bl>
    <w:p>
      <w:pPr>
        <w:pStyle w:val="973"/>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73"/>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0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3"/>
      <w:r/>
      <w:bookmarkEnd w:id="24"/>
      <w:r/>
      <w:bookmarkEnd w:id="25"/>
      <w:r/>
      <w:bookmarkEnd w:id="26"/>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73"/>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江苏仁合中惠工程咨询有限公司</w:t>
      </w:r>
      <w:r>
        <w:rPr>
          <w:rFonts w:hint="eastAsia" w:hAnsi="宋体" w:eastAsia="宋体" w:cs="宋体"/>
          <w:sz w:val="21"/>
          <w:szCs w:val="21"/>
          <w:highlight w:val="none"/>
        </w:rPr>
        <w:t xml:space="preserve">：</w:t>
      </w:r>
      <w:r/>
    </w:p>
    <w:p>
      <w:pPr>
        <w:pStyle w:val="912"/>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江苏仁合中惠工程咨询有限公司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1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1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12"/>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：（盖章）</w:t>
      </w:r>
      <w:r/>
    </w:p>
    <w:p>
      <w:pPr>
        <w:pStyle w:val="912"/>
        <w:jc w:val="both"/>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法定代表人（或经营者等）：（签字或盖章）</w:t>
      </w:r>
      <w:r/>
    </w:p>
    <w:p>
      <w:pPr>
        <w:pStyle w:val="912"/>
        <w:jc w:val="both"/>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日期：    年    月    日</w:t>
      </w:r>
      <w:r/>
    </w:p>
    <w:p>
      <w:pPr>
        <w:pStyle w:val="912"/>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7" w:name="_Ref360464517"/>
      <w:r/>
      <w:bookmarkEnd w:id="27"/>
      <w:r/>
      <w:r/>
    </w:p>
    <w:p>
      <w:pPr>
        <w:pStyle w:val="904"/>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12"/>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22"/>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699"/>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699"/>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699"/>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699"/>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699"/>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73"/>
        <w:spacing w:line="360" w:lineRule="auto"/>
        <w:rPr>
          <w:rFonts w:hint="eastAsia"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73"/>
        <w:numPr>
          <w:ilvl w:val="0"/>
          <w:numId w:val="0"/>
        </w:numPr>
        <w:ind w:firstLine="422"/>
        <w:spacing w:line="360" w:lineRule="auto"/>
        <w:rPr>
          <w:rFonts w:hint="eastAsia" w:hAnsi="宋体" w:eastAsia="宋体" w:cs="宋体"/>
          <w:b/>
          <w:bCs/>
          <w:sz w:val="21"/>
          <w:szCs w:val="21"/>
          <w:lang w:eastAsia="zh-CN"/>
        </w:rPr>
      </w:pPr>
      <w:r>
        <w:rPr>
          <w:rFonts w:hint="eastAsia" w:hAnsi="宋体" w:eastAsia="宋体" w:cs="宋体"/>
          <w:b/>
          <w:bCs/>
          <w:sz w:val="21"/>
          <w:szCs w:val="21"/>
          <w:lang w:val="en-US" w:eastAsia="zh-CN"/>
        </w:rPr>
        <w:t xml:space="preserve">2、</w:t>
      </w:r>
      <w:r>
        <w:rPr>
          <w:rFonts w:hint="eastAsia" w:hAnsi="宋体" w:eastAsia="宋体" w:cs="宋体"/>
          <w:b/>
          <w:bCs/>
          <w:sz w:val="21"/>
          <w:szCs w:val="21"/>
        </w:rPr>
        <w:t xml:space="preserve">本项目所属行业为</w:t>
      </w:r>
      <w:r>
        <w:rPr>
          <w:rFonts w:hint="eastAsia" w:hAnsi="宋体" w:eastAsia="宋体" w:cs="宋体"/>
          <w:b/>
          <w:bCs/>
          <w:color w:val="0000ff"/>
          <w:sz w:val="21"/>
          <w:szCs w:val="21"/>
          <w:u w:val="single"/>
        </w:rPr>
        <w:t xml:space="preserve"> 租赁和商务服务业 </w:t>
      </w:r>
      <w:r>
        <w:rPr>
          <w:rFonts w:hint="eastAsia" w:hAnsi="宋体" w:eastAsia="宋体" w:cs="宋体"/>
          <w:b/>
          <w:bCs/>
          <w:color w:val="0000ff"/>
          <w:sz w:val="21"/>
          <w:szCs w:val="21"/>
          <w:u w:val="single"/>
          <w:lang w:eastAsia="zh-CN"/>
        </w:rPr>
        <w:t xml:space="preserve">；</w:t>
      </w:r>
      <w:r/>
    </w:p>
    <w:p>
      <w:pPr>
        <w:pStyle w:val="973"/>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73"/>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3"/>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3"/>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3"/>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2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9"/>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十二</w:t>
      </w:r>
      <w:r>
        <w:rPr>
          <w:rFonts w:hint="eastAsia" w:ascii="宋体" w:hAnsi="宋体" w:cs="宋体"/>
          <w:b/>
          <w:bCs/>
          <w:color w:val="000000"/>
          <w:sz w:val="21"/>
          <w:szCs w:val="21"/>
        </w:rPr>
        <w:t xml:space="preserve">、残疾人福利性单位声明函</w:t>
      </w:r>
      <w:r/>
    </w:p>
    <w:p>
      <w:pPr>
        <w:pStyle w:val="689"/>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25"/>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25"/>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25"/>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25"/>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12"/>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8"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昆山高新技术产业开发区管理委员会</w:t>
      </w:r>
      <w:r>
        <w:rPr>
          <w:rFonts w:hint="eastAsia" w:ascii="宋体" w:hAnsi="宋体" w:cs="宋体"/>
          <w:szCs w:val="21"/>
          <w:highlight w:val="none"/>
        </w:rPr>
        <w:t xml:space="preserve">委托，</w:t>
      </w:r>
      <w:r>
        <w:rPr>
          <w:rFonts w:hint="eastAsia" w:ascii="宋体" w:hAnsi="宋体" w:cs="宋体"/>
          <w:szCs w:val="21"/>
          <w:highlight w:val="none"/>
          <w:lang w:eastAsia="zh-CN"/>
        </w:rPr>
        <w:t xml:space="preserve">江苏仁合中惠工程咨询有限公司</w:t>
      </w:r>
      <w:r>
        <w:rPr>
          <w:rFonts w:hint="eastAsia" w:ascii="宋体" w:hAnsi="宋体" w:cs="宋体"/>
          <w:szCs w:val="21"/>
          <w:highlight w:val="none"/>
        </w:rPr>
        <w:t xml:space="preserve">对其拟采购的</w:t>
      </w:r>
      <w:r>
        <w:rPr>
          <w:rFonts w:hint="eastAsia" w:ascii="宋体" w:hAnsi="宋体" w:cs="宋体"/>
          <w:szCs w:val="21"/>
          <w:highlight w:val="none"/>
          <w:lang w:eastAsia="zh-CN"/>
        </w:rPr>
        <w:t xml:space="preserve">2026年度昆山高新区公共自行车运营服务</w:t>
      </w:r>
      <w:r>
        <w:rPr>
          <w:rFonts w:hint="eastAsia" w:ascii="宋体" w:hAnsi="宋体" w:cs="宋体"/>
          <w:szCs w:val="21"/>
          <w:highlight w:val="none"/>
        </w:rPr>
        <w:t xml:space="preserve">在国内组织公开招标。欢迎符合资格条件的各供应商前来参加投标。</w:t>
      </w:r>
      <w:bookmarkEnd w:id="28"/>
      <w:r/>
      <w:r/>
    </w:p>
    <w:p>
      <w:pPr>
        <w:ind w:firstLine="422"/>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一、项目编号</w:t>
      </w:r>
      <w:r>
        <w:rPr>
          <w:rFonts w:hint="eastAsia" w:ascii="宋体" w:hAnsi="宋体" w:cs="宋体"/>
          <w:szCs w:val="21"/>
          <w:highlight w:val="none"/>
          <w:lang w:val="en-US" w:eastAsia="zh-CN"/>
        </w:rPr>
        <w:t xml:space="preserve">：</w:t>
      </w:r>
      <w:r>
        <w:rPr>
          <w:rFonts w:hint="eastAsia" w:ascii="宋体" w:hAnsi="宋体" w:cs="宋体"/>
          <w:szCs w:val="21"/>
          <w:highlight w:val="none"/>
          <w:lang w:val="zh-CN" w:eastAsia="zh-CN"/>
        </w:rPr>
        <w:t xml:space="preserve">JSZC-320583-RHZH-G2026-0001</w:t>
      </w:r>
      <w:r/>
    </w:p>
    <w:p>
      <w:pPr>
        <w:ind w:firstLine="422"/>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二、项目名称</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2026年度昆山高新区公共自行车运营服务</w:t>
      </w:r>
      <w:r/>
    </w:p>
    <w:p>
      <w:pPr>
        <w:ind w:firstLine="422"/>
        <w:spacing w:line="360" w:lineRule="auto"/>
        <w:rPr>
          <w:rFonts w:hint="eastAsia" w:ascii="宋体" w:hAnsi="宋体" w:cs="宋体"/>
          <w:b/>
          <w:szCs w:val="21"/>
          <w:highlight w:val="none"/>
        </w:rPr>
      </w:pPr>
      <w:r>
        <w:rPr>
          <w:rFonts w:hint="eastAsia" w:ascii="宋体" w:hAnsi="宋体" w:cs="宋体"/>
          <w:b/>
          <w:bCs/>
          <w:szCs w:val="21"/>
        </w:rPr>
        <w:t xml:space="preserve">三、项目概况：中标人负责昆山高新区范围内公共自行车的</w:t>
      </w:r>
      <w:r>
        <w:rPr>
          <w:rFonts w:hint="eastAsia" w:ascii="宋体" w:hAnsi="宋体" w:cs="宋体"/>
          <w:b/>
          <w:szCs w:val="21"/>
        </w:rPr>
        <w:t xml:space="preserve">运营服务，保证所有站点及站内所有设施设备、基站系统</w:t>
      </w:r>
      <w:r>
        <w:rPr>
          <w:rFonts w:hint="eastAsia" w:ascii="宋体" w:hAnsi="宋体" w:cs="宋体"/>
          <w:b/>
          <w:szCs w:val="21"/>
          <w:highlight w:val="none"/>
        </w:rPr>
        <w:t xml:space="preserve">运行良好。</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四、高新区范围内公共自行车站点主要设施情况及服务时间</w:t>
      </w:r>
      <w:r/>
    </w:p>
    <w:tbl>
      <w:tblPr>
        <w:tblStyle w:val="698"/>
        <w:tblW w:w="9534"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550"/>
        <w:gridCol w:w="1766"/>
        <w:gridCol w:w="2017"/>
        <w:gridCol w:w="2467"/>
      </w:tblGrid>
      <w:tr>
        <w:trPr/>
        <w:tc>
          <w:tcPr>
            <w:shd w:val="clear" w:color="auto" w:fill="auto"/>
            <w:tcW w:w="1734" w:type="dxa"/>
            <w:vAlign w:val="center"/>
            <w:textDirection w:val="lrTb"/>
            <w:noWrap w:val="false"/>
          </w:tcPr>
          <w:p>
            <w:pPr>
              <w:ind w:left="0" w:right="0"/>
              <w:jc w:val="center"/>
              <w:keepLines w:val="0"/>
              <w:keepNext w:val="0"/>
              <w:spacing w:before="0" w:beforeAutospacing="0" w:after="0" w:afterAutospacing="0" w:line="360" w:lineRule="auto"/>
              <w:tabs>
                <w:tab w:val="left" w:pos="753" w:leader="none"/>
              </w:tabs>
              <w:rPr>
                <w:rFonts w:hint="eastAsia" w:ascii="宋体" w:hAnsi="宋体" w:cs="宋体"/>
                <w:b/>
                <w:szCs w:val="21"/>
                <w:highlight w:val="none"/>
              </w:rPr>
              <w:suppressLineNumbers w:val="0"/>
            </w:pPr>
            <w:r>
              <w:rPr>
                <w:rFonts w:hint="eastAsia" w:ascii="宋体" w:hAnsi="宋体" w:cs="宋体"/>
                <w:b/>
                <w:szCs w:val="21"/>
                <w:highlight w:val="none"/>
              </w:rPr>
              <w:t xml:space="preserve">站点数量</w:t>
            </w:r>
            <w:r/>
          </w:p>
        </w:tc>
        <w:tc>
          <w:tcPr>
            <w:shd w:val="clear" w:color="auto" w:fill="auto"/>
            <w:tcW w:w="1550" w:type="dxa"/>
            <w:vAlign w:val="center"/>
            <w:textDirection w:val="lrTb"/>
            <w:noWrap w:val="false"/>
          </w:tcPr>
          <w:p>
            <w:pPr>
              <w:ind w:left="0" w:right="0"/>
              <w:jc w:val="center"/>
              <w:keepLines w:val="0"/>
              <w:keepNext w:val="0"/>
              <w:spacing w:before="0" w:beforeAutospacing="0" w:after="0" w:afterAutospacing="0" w:line="360" w:lineRule="auto"/>
              <w:tabs>
                <w:tab w:val="left" w:pos="753" w:leader="none"/>
              </w:tabs>
              <w:rPr>
                <w:rFonts w:hint="eastAsia" w:ascii="宋体" w:hAnsi="宋体" w:cs="宋体"/>
                <w:b/>
                <w:szCs w:val="21"/>
                <w:highlight w:val="none"/>
              </w:rPr>
              <w:suppressLineNumbers w:val="0"/>
            </w:pPr>
            <w:r>
              <w:rPr>
                <w:rFonts w:hint="eastAsia" w:ascii="宋体" w:hAnsi="宋体" w:cs="宋体"/>
                <w:b/>
                <w:szCs w:val="21"/>
                <w:highlight w:val="none"/>
              </w:rPr>
              <w:t xml:space="preserve">自行车数量</w:t>
            </w:r>
            <w:r/>
          </w:p>
        </w:tc>
        <w:tc>
          <w:tcPr>
            <w:shd w:val="clear" w:color="auto" w:fill="auto"/>
            <w:tcW w:w="1766" w:type="dxa"/>
            <w:vAlign w:val="center"/>
            <w:textDirection w:val="lrTb"/>
            <w:noWrap w:val="false"/>
          </w:tcPr>
          <w:p>
            <w:pPr>
              <w:ind w:left="0" w:right="0"/>
              <w:jc w:val="center"/>
              <w:keepLines w:val="0"/>
              <w:keepNext w:val="0"/>
              <w:spacing w:before="0" w:beforeAutospacing="0" w:after="0" w:afterAutospacing="0" w:line="360" w:lineRule="auto"/>
              <w:tabs>
                <w:tab w:val="left" w:pos="753" w:leader="none"/>
              </w:tabs>
              <w:rPr>
                <w:rFonts w:hint="eastAsia" w:ascii="宋体" w:hAnsi="宋体" w:cs="宋体"/>
                <w:b/>
                <w:szCs w:val="21"/>
                <w:highlight w:val="none"/>
              </w:rPr>
              <w:suppressLineNumbers w:val="0"/>
            </w:pPr>
            <w:r>
              <w:rPr>
                <w:rFonts w:hint="eastAsia" w:ascii="宋体" w:hAnsi="宋体" w:cs="宋体"/>
                <w:b/>
                <w:szCs w:val="21"/>
                <w:highlight w:val="none"/>
              </w:rPr>
              <w:t xml:space="preserve">锁车柱数量</w:t>
            </w:r>
            <w:r/>
          </w:p>
        </w:tc>
        <w:tc>
          <w:tcPr>
            <w:shd w:val="clear" w:color="auto" w:fill="auto"/>
            <w:tcW w:w="2017" w:type="dxa"/>
            <w:vAlign w:val="center"/>
            <w:textDirection w:val="lrTb"/>
            <w:noWrap w:val="false"/>
          </w:tcPr>
          <w:p>
            <w:pPr>
              <w:ind w:left="0" w:right="0"/>
              <w:jc w:val="center"/>
              <w:keepLines w:val="0"/>
              <w:keepNext w:val="0"/>
              <w:spacing w:before="0" w:beforeAutospacing="0" w:after="0" w:afterAutospacing="0" w:line="360" w:lineRule="auto"/>
              <w:tabs>
                <w:tab w:val="left" w:pos="753" w:leader="none"/>
              </w:tabs>
              <w:rPr>
                <w:rFonts w:hint="eastAsia" w:ascii="宋体" w:hAnsi="宋体" w:cs="宋体"/>
                <w:b/>
                <w:szCs w:val="21"/>
                <w:highlight w:val="none"/>
              </w:rPr>
              <w:suppressLineNumbers w:val="0"/>
            </w:pPr>
            <w:r>
              <w:rPr>
                <w:rFonts w:hint="eastAsia" w:ascii="宋体" w:hAnsi="宋体" w:cs="宋体"/>
                <w:b/>
                <w:szCs w:val="21"/>
                <w:highlight w:val="none"/>
              </w:rPr>
              <w:t xml:space="preserve">基站控制器</w:t>
            </w:r>
            <w:r/>
          </w:p>
        </w:tc>
        <w:tc>
          <w:tcPr>
            <w:shd w:val="clear" w:color="auto" w:fill="auto"/>
            <w:tcW w:w="2467" w:type="dxa"/>
            <w:vAlign w:val="center"/>
            <w:textDirection w:val="lrTb"/>
            <w:noWrap w:val="false"/>
          </w:tcPr>
          <w:p>
            <w:pPr>
              <w:ind w:left="0" w:right="0"/>
              <w:jc w:val="center"/>
              <w:keepLines w:val="0"/>
              <w:keepNext w:val="0"/>
              <w:spacing w:before="0" w:beforeAutospacing="0" w:after="0" w:afterAutospacing="0" w:line="360" w:lineRule="auto"/>
              <w:tabs>
                <w:tab w:val="left" w:pos="753" w:leader="none"/>
              </w:tabs>
              <w:rPr>
                <w:rFonts w:hint="eastAsia" w:ascii="宋体" w:hAnsi="宋体" w:cs="宋体"/>
                <w:b/>
                <w:szCs w:val="21"/>
                <w:highlight w:val="none"/>
              </w:rPr>
              <w:suppressLineNumbers w:val="0"/>
            </w:pPr>
            <w:r>
              <w:rPr>
                <w:rFonts w:hint="eastAsia" w:ascii="宋体" w:hAnsi="宋体" w:cs="宋体"/>
                <w:b/>
                <w:szCs w:val="21"/>
                <w:highlight w:val="none"/>
              </w:rPr>
              <w:t xml:space="preserve">运营服务时间</w:t>
            </w:r>
            <w:r/>
          </w:p>
        </w:tc>
      </w:tr>
      <w:tr>
        <w:trPr/>
        <w:tc>
          <w:tcPr>
            <w:shd w:val="clear" w:color="auto" w:fill="auto"/>
            <w:tcW w:w="1734" w:type="dxa"/>
            <w:vAlign w:val="top"/>
            <w:textDirection w:val="lrTb"/>
            <w:noWrap w:val="false"/>
          </w:tcPr>
          <w:p>
            <w:pPr>
              <w:ind w:left="0" w:right="0"/>
              <w:jc w:val="center"/>
              <w:keepLines w:val="0"/>
              <w:keepNext w:val="0"/>
              <w:spacing w:before="0" w:beforeAutospacing="0" w:after="0" w:afterAutospacing="0" w:line="360" w:lineRule="auto"/>
              <w:tabs>
                <w:tab w:val="left" w:pos="753" w:leader="none"/>
              </w:tabs>
              <w:rPr>
                <w:rFonts w:ascii="宋体" w:hAnsi="宋体" w:cs="宋体"/>
                <w:b/>
                <w:szCs w:val="21"/>
                <w:highlight w:val="none"/>
              </w:rPr>
              <w:suppressLineNumbers w:val="0"/>
            </w:pPr>
            <w:r>
              <w:rPr>
                <w:rFonts w:hint="eastAsia" w:ascii="宋体" w:hAnsi="宋体" w:cs="宋体"/>
                <w:b/>
                <w:szCs w:val="21"/>
                <w:highlight w:val="none"/>
                <w:lang w:val="en-US" w:eastAsia="zh-CN"/>
              </w:rPr>
              <w:t xml:space="preserve">377</w:t>
            </w:r>
            <w:r>
              <w:rPr>
                <w:rFonts w:hint="eastAsia" w:ascii="宋体" w:hAnsi="宋体" w:cs="宋体"/>
                <w:b/>
                <w:szCs w:val="21"/>
                <w:highlight w:val="none"/>
              </w:rPr>
              <w:t xml:space="preserve">个</w:t>
            </w:r>
            <w:r/>
          </w:p>
        </w:tc>
        <w:tc>
          <w:tcPr>
            <w:shd w:val="clear" w:color="auto" w:fill="auto"/>
            <w:tcW w:w="1550" w:type="dxa"/>
            <w:vAlign w:val="top"/>
            <w:textDirection w:val="lrTb"/>
            <w:noWrap w:val="false"/>
          </w:tcPr>
          <w:p>
            <w:pPr>
              <w:ind w:left="0" w:right="0"/>
              <w:jc w:val="center"/>
              <w:keepLines w:val="0"/>
              <w:keepNext w:val="0"/>
              <w:spacing w:before="0" w:beforeAutospacing="0" w:after="0" w:afterAutospacing="0" w:line="360" w:lineRule="auto"/>
              <w:tabs>
                <w:tab w:val="left" w:pos="753" w:leader="none"/>
              </w:tabs>
              <w:rPr>
                <w:rFonts w:ascii="宋体" w:hAnsi="宋体" w:cs="宋体"/>
                <w:b/>
                <w:szCs w:val="21"/>
                <w:highlight w:val="none"/>
              </w:rPr>
              <w:suppressLineNumbers w:val="0"/>
            </w:pPr>
            <w:r>
              <w:rPr>
                <w:rFonts w:hint="eastAsia" w:ascii="宋体" w:hAnsi="宋体" w:cs="宋体"/>
                <w:b/>
                <w:szCs w:val="21"/>
                <w:highlight w:val="none"/>
                <w:lang w:val="en-US" w:eastAsia="zh-CN"/>
              </w:rPr>
              <w:t xml:space="preserve">8600</w:t>
            </w:r>
            <w:r>
              <w:rPr>
                <w:rFonts w:hint="eastAsia" w:ascii="宋体" w:hAnsi="宋体" w:cs="宋体"/>
                <w:b/>
                <w:szCs w:val="21"/>
                <w:highlight w:val="none"/>
              </w:rPr>
              <w:t xml:space="preserve">辆</w:t>
            </w:r>
            <w:r/>
          </w:p>
        </w:tc>
        <w:tc>
          <w:tcPr>
            <w:shd w:val="clear" w:color="auto" w:fill="auto"/>
            <w:tcW w:w="1766" w:type="dxa"/>
            <w:vAlign w:val="top"/>
            <w:textDirection w:val="lrTb"/>
            <w:noWrap w:val="false"/>
          </w:tcPr>
          <w:p>
            <w:pPr>
              <w:ind w:left="0" w:right="0"/>
              <w:jc w:val="center"/>
              <w:keepLines w:val="0"/>
              <w:keepNext w:val="0"/>
              <w:spacing w:before="0" w:beforeAutospacing="0" w:after="0" w:afterAutospacing="0" w:line="360" w:lineRule="auto"/>
              <w:tabs>
                <w:tab w:val="left" w:pos="753" w:leader="none"/>
              </w:tabs>
              <w:rPr>
                <w:rFonts w:ascii="宋体" w:hAnsi="宋体" w:cs="宋体"/>
                <w:b/>
                <w:szCs w:val="21"/>
                <w:highlight w:val="none"/>
              </w:rPr>
              <w:suppressLineNumbers w:val="0"/>
            </w:pPr>
            <w:r>
              <w:rPr>
                <w:rFonts w:hint="eastAsia" w:ascii="宋体" w:hAnsi="宋体" w:cs="宋体"/>
                <w:b/>
                <w:szCs w:val="21"/>
                <w:highlight w:val="none"/>
              </w:rPr>
              <w:t xml:space="preserve">12132套</w:t>
            </w:r>
            <w:r/>
          </w:p>
        </w:tc>
        <w:tc>
          <w:tcPr>
            <w:shd w:val="clear" w:color="auto" w:fill="auto"/>
            <w:tcW w:w="2017" w:type="dxa"/>
            <w:vAlign w:val="top"/>
            <w:textDirection w:val="lrTb"/>
            <w:noWrap w:val="false"/>
          </w:tcPr>
          <w:p>
            <w:pPr>
              <w:ind w:left="0" w:right="0"/>
              <w:jc w:val="center"/>
              <w:keepLines w:val="0"/>
              <w:keepNext w:val="0"/>
              <w:spacing w:before="0" w:beforeAutospacing="0" w:after="0" w:afterAutospacing="0" w:line="360" w:lineRule="auto"/>
              <w:tabs>
                <w:tab w:val="left" w:pos="753" w:leader="none"/>
              </w:tabs>
              <w:rPr>
                <w:rFonts w:hint="eastAsia" w:ascii="宋体" w:hAnsi="宋体" w:cs="宋体"/>
                <w:b/>
                <w:szCs w:val="21"/>
                <w:highlight w:val="none"/>
              </w:rPr>
              <w:suppressLineNumbers w:val="0"/>
            </w:pPr>
            <w:r>
              <w:rPr>
                <w:rFonts w:hint="eastAsia" w:ascii="宋体" w:hAnsi="宋体" w:cs="宋体"/>
                <w:b/>
                <w:szCs w:val="21"/>
                <w:highlight w:val="none"/>
                <w:lang w:val="en-US" w:eastAsia="zh-CN"/>
              </w:rPr>
              <w:t xml:space="preserve">377</w:t>
            </w:r>
            <w:r>
              <w:rPr>
                <w:rFonts w:hint="eastAsia" w:ascii="宋体" w:hAnsi="宋体" w:cs="宋体"/>
                <w:b/>
                <w:szCs w:val="21"/>
                <w:highlight w:val="none"/>
              </w:rPr>
              <w:t xml:space="preserve">套</w:t>
            </w:r>
            <w:r/>
          </w:p>
        </w:tc>
        <w:tc>
          <w:tcPr>
            <w:shd w:val="clear" w:color="auto" w:fill="auto"/>
            <w:tcW w:w="2467" w:type="dxa"/>
            <w:vAlign w:val="top"/>
            <w:textDirection w:val="lrTb"/>
            <w:noWrap w:val="false"/>
          </w:tcPr>
          <w:p>
            <w:pPr>
              <w:ind w:left="0" w:right="0"/>
              <w:jc w:val="center"/>
              <w:keepLines w:val="0"/>
              <w:keepNext w:val="0"/>
              <w:spacing w:before="0" w:beforeAutospacing="0" w:after="0" w:afterAutospacing="0" w:line="360" w:lineRule="auto"/>
              <w:tabs>
                <w:tab w:val="left" w:pos="753" w:leader="none"/>
              </w:tabs>
              <w:rPr>
                <w:rFonts w:hint="eastAsia" w:ascii="宋体" w:hAnsi="宋体" w:eastAsia="宋体" w:cs="宋体"/>
                <w:b/>
                <w:szCs w:val="21"/>
                <w:highlight w:val="none"/>
                <w:lang w:eastAsia="zh-CN"/>
              </w:rPr>
              <w:suppressLineNumbers w:val="0"/>
            </w:pPr>
            <w:r>
              <w:rPr>
                <w:rFonts w:hint="eastAsia" w:ascii="宋体" w:hAnsi="宋体" w:cs="宋体"/>
                <w:b/>
                <w:szCs w:val="21"/>
                <w:highlight w:val="none"/>
                <w:lang w:eastAsia="zh-CN"/>
              </w:rPr>
              <w:t xml:space="preserve">一年</w:t>
            </w:r>
            <w:r/>
          </w:p>
        </w:tc>
      </w:tr>
    </w:tbl>
    <w:p>
      <w:pPr>
        <w:numPr>
          <w:ilvl w:val="0"/>
          <w:numId w:val="2"/>
        </w:numPr>
        <w:ind w:firstLine="422"/>
        <w:spacing w:line="360" w:lineRule="auto"/>
        <w:tabs>
          <w:tab w:val="left" w:pos="753" w:leader="none"/>
        </w:tabs>
        <w:rPr>
          <w:rFonts w:hint="eastAsia" w:ascii="宋体" w:hAnsi="宋体" w:cs="宋体"/>
          <w:b/>
          <w:bCs/>
          <w:szCs w:val="21"/>
          <w:highlight w:val="none"/>
        </w:rPr>
      </w:pPr>
      <w:r>
        <w:rPr>
          <w:rFonts w:hint="eastAsia" w:ascii="宋体" w:hAnsi="宋体" w:cs="宋体"/>
          <w:b/>
          <w:bCs/>
          <w:szCs w:val="21"/>
          <w:highlight w:val="none"/>
        </w:rPr>
        <w:t xml:space="preserve">清单费用参考，至少包括以下费用：</w:t>
      </w:r>
      <w:r/>
    </w:p>
    <w:tbl>
      <w:tblPr>
        <w:tblStyle w:val="698"/>
        <w:tblW w:w="962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1875"/>
        <w:gridCol w:w="1215"/>
        <w:gridCol w:w="1155"/>
        <w:gridCol w:w="461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管理费用明细</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人员费用</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non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cs="宋体"/>
                <w:color w:val="000000"/>
                <w:sz w:val="21"/>
                <w:szCs w:val="21"/>
                <w:highlight w:val="none"/>
                <w:lang w:bidi="ar"/>
              </w:rPr>
              <w:t xml:space="preserve">为本项目提供足够数量的运营服务及管理人员</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场地租赁</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仓库租赁及维护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网络通讯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网络、电话、站点卡、手机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自行车保险</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color w:val="000000"/>
                <w:sz w:val="21"/>
                <w:szCs w:val="21"/>
                <w:highlight w:val="none"/>
                <w:lang w:eastAsia="zh-CN" w:bidi="ar"/>
              </w:rPr>
              <w:t xml:space="preserve">运营期间</w:t>
            </w:r>
            <w:r>
              <w:rPr>
                <w:rFonts w:hint="eastAsia" w:ascii="宋体" w:hAnsi="宋体" w:cs="宋体"/>
                <w:color w:val="000000"/>
                <w:sz w:val="21"/>
                <w:szCs w:val="21"/>
                <w:highlight w:val="none"/>
                <w:lang w:bidi="ar"/>
              </w:rPr>
              <w:t xml:space="preserve">为自行车购买第三者责任险，保险额度不少于20万。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站点蓄电池</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color w:val="000000"/>
                <w:sz w:val="21"/>
                <w:szCs w:val="21"/>
                <w:highlight w:val="none"/>
                <w:lang w:bidi="ar"/>
              </w:rPr>
              <w:t xml:space="preserve">中标人应保证运营期内蓄电池的正常使用，每年每站至少更换一次，如蓄电池损坏或蓄电量下降，不足以支撑自行车站点运行的，应及时更换。</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调度车辆</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non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包含</w:t>
            </w:r>
            <w:r>
              <w:rPr>
                <w:rFonts w:hint="eastAsia" w:ascii="宋体" w:hAnsi="宋体" w:eastAsia="宋体" w:cs="宋体"/>
                <w:i w:val="0"/>
                <w:iCs w:val="0"/>
                <w:color w:val="000000"/>
                <w:sz w:val="21"/>
                <w:szCs w:val="21"/>
                <w:highlight w:val="none"/>
                <w:u w:val="none"/>
                <w:lang w:val="en-US" w:eastAsia="zh-CN" w:bidi="ar"/>
              </w:rPr>
              <w:t xml:space="preserve">调度车</w:t>
            </w:r>
            <w:r>
              <w:rPr>
                <w:rFonts w:hint="eastAsia" w:ascii="宋体" w:hAnsi="宋体" w:cs="宋体"/>
                <w:i w:val="0"/>
                <w:iCs w:val="0"/>
                <w:color w:val="000000"/>
                <w:sz w:val="21"/>
                <w:szCs w:val="21"/>
                <w:highlight w:val="none"/>
                <w:u w:val="none"/>
                <w:lang w:val="en-US" w:eastAsia="zh-CN" w:bidi="ar"/>
              </w:rPr>
              <w:t xml:space="preserve">的使用费、</w:t>
            </w:r>
            <w:r>
              <w:rPr>
                <w:rFonts w:hint="eastAsia" w:ascii="宋体" w:hAnsi="宋体" w:eastAsia="宋体" w:cs="宋体"/>
                <w:i w:val="0"/>
                <w:iCs w:val="0"/>
                <w:color w:val="000000"/>
                <w:sz w:val="21"/>
                <w:szCs w:val="21"/>
                <w:highlight w:val="none"/>
                <w:u w:val="none"/>
                <w:lang w:val="en-US" w:eastAsia="zh-CN" w:bidi="ar"/>
              </w:rPr>
              <w:t xml:space="preserve">燃油</w:t>
            </w:r>
            <w:r>
              <w:rPr>
                <w:rFonts w:hint="eastAsia" w:ascii="宋体" w:hAnsi="宋体" w:cs="宋体"/>
                <w:i w:val="0"/>
                <w:iCs w:val="0"/>
                <w:color w:val="000000"/>
                <w:sz w:val="21"/>
                <w:szCs w:val="21"/>
                <w:highlight w:val="none"/>
                <w:u w:val="none"/>
                <w:lang w:val="en-US" w:eastAsia="zh-CN" w:bidi="ar"/>
              </w:rPr>
              <w:t xml:space="preserve">费、维修</w:t>
            </w:r>
            <w:r>
              <w:rPr>
                <w:rFonts w:hint="eastAsia" w:ascii="宋体" w:hAnsi="宋体" w:eastAsia="宋体" w:cs="宋体"/>
                <w:i w:val="0"/>
                <w:iCs w:val="0"/>
                <w:color w:val="000000"/>
                <w:sz w:val="21"/>
                <w:szCs w:val="21"/>
                <w:highlight w:val="none"/>
                <w:u w:val="none"/>
                <w:lang w:val="en-US" w:eastAsia="zh-CN" w:bidi="ar"/>
              </w:rPr>
              <w:t xml:space="preserve">维保</w:t>
            </w:r>
            <w:r>
              <w:rPr>
                <w:rFonts w:hint="eastAsia" w:ascii="宋体" w:hAnsi="宋体" w:cs="宋体"/>
                <w:i w:val="0"/>
                <w:iCs w:val="0"/>
                <w:color w:val="000000"/>
                <w:sz w:val="21"/>
                <w:szCs w:val="21"/>
                <w:highlight w:val="none"/>
                <w:u w:val="none"/>
                <w:lang w:val="en-US" w:eastAsia="zh-CN" w:bidi="ar"/>
              </w:rPr>
              <w:t xml:space="preserve">、保险等</w:t>
            </w:r>
            <w:r>
              <w:rPr>
                <w:rFonts w:hint="eastAsia" w:ascii="宋体" w:hAnsi="宋体" w:eastAsia="宋体" w:cs="宋体"/>
                <w:i w:val="0"/>
                <w:iCs w:val="0"/>
                <w:color w:val="000000"/>
                <w:sz w:val="21"/>
                <w:szCs w:val="21"/>
                <w:highlight w:val="none"/>
                <w:u w:val="none"/>
                <w:lang w:val="en-US" w:eastAsia="zh-CN" w:bidi="ar"/>
              </w:rPr>
              <w:t xml:space="preserve">费用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自行车维保</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lang w:bidi="ar"/>
              </w:rPr>
              <w:t xml:space="preserve">为站点内所有自行车提供维保服务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锁车柱维保</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lang w:bidi="ar"/>
              </w:rPr>
              <w:t xml:space="preserve">为站点内所有锁车柱提供维保服务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基站控制器维保</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lang w:bidi="ar"/>
              </w:rPr>
              <w:t xml:space="preserve">为站点内所有基站控制器提供维保服务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cs="宋体"/>
                <w:i w:val="0"/>
                <w:iCs w:val="0"/>
                <w:color w:val="000000"/>
                <w:sz w:val="21"/>
                <w:szCs w:val="21"/>
                <w:u w:val="none"/>
                <w:lang w:eastAsia="zh-CN"/>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none" w:color="000000" w:sz="4" w:space="0"/>
              <w:left w:val="single" w:color="000000" w:sz="4" w:space="0"/>
              <w:bottom w:val="single" w:color="000000" w:sz="4" w:space="0"/>
              <w:right w:val="single" w:color="000000" w:sz="4" w:space="0"/>
            </w:tcBorders>
            <w:tcW w:w="4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办公费用、水电费、易耗品、保洁费等</w:t>
            </w:r>
            <w:r/>
          </w:p>
        </w:tc>
      </w:tr>
    </w:tbl>
    <w:p>
      <w:pPr>
        <w:ind w:firstLine="422"/>
        <w:spacing w:line="360" w:lineRule="auto"/>
        <w:tabs>
          <w:tab w:val="left" w:pos="753" w:leader="none"/>
        </w:tabs>
        <w:rPr>
          <w:rFonts w:ascii="宋体" w:hAnsi="宋体" w:cs="宋体"/>
          <w:szCs w:val="21"/>
        </w:rPr>
      </w:pPr>
      <w:r>
        <w:rPr>
          <w:rFonts w:hint="eastAsia" w:ascii="宋体" w:hAnsi="宋体" w:cs="宋体"/>
          <w:b/>
          <w:bCs/>
          <w:szCs w:val="21"/>
        </w:rPr>
        <w:t xml:space="preserve">六、运营服务</w:t>
      </w:r>
      <w:r>
        <w:rPr>
          <w:rFonts w:hint="eastAsia" w:ascii="宋体" w:hAnsi="宋体" w:cs="宋体"/>
          <w:b/>
          <w:szCs w:val="21"/>
        </w:rPr>
        <w:t xml:space="preserve">要求</w:t>
      </w:r>
      <w:r/>
    </w:p>
    <w:p>
      <w:pPr>
        <w:ind w:firstLine="422"/>
        <w:jc w:val="left"/>
        <w:spacing w:line="360" w:lineRule="auto"/>
        <w:widowControl/>
        <w:rPr>
          <w:rFonts w:hint="eastAsia" w:ascii="宋体" w:hAnsi="宋体" w:cs="宋体"/>
          <w:b/>
          <w:szCs w:val="21"/>
        </w:rPr>
      </w:pPr>
      <w:r/>
      <w:bookmarkStart w:id="29" w:name="_Toc367894013"/>
      <w:r/>
      <w:bookmarkStart w:id="30" w:name="_Toc367894014"/>
      <w:r>
        <w:rPr>
          <w:rFonts w:hint="eastAsia" w:ascii="宋体" w:hAnsi="宋体" w:cs="宋体"/>
          <w:b/>
          <w:szCs w:val="21"/>
        </w:rPr>
        <w:t xml:space="preserve">1、总体要求</w:t>
      </w:r>
      <w:bookmarkEnd w:id="29"/>
      <w:r/>
      <w:r/>
    </w:p>
    <w:p>
      <w:pPr>
        <w:ind w:firstLine="424"/>
        <w:jc w:val="left"/>
        <w:spacing w:line="360" w:lineRule="auto"/>
        <w:widowControl/>
        <w:rPr>
          <w:rFonts w:hint="eastAsia" w:ascii="宋体" w:hAnsi="宋体" w:cs="宋体"/>
          <w:szCs w:val="21"/>
        </w:rPr>
      </w:pPr>
      <w:r>
        <w:rPr>
          <w:rFonts w:hint="eastAsia" w:ascii="宋体" w:hAnsi="宋体" w:cs="宋体"/>
          <w:szCs w:val="21"/>
        </w:rPr>
        <w:t xml:space="preserve">运营期间，须保证所有公共自行车站点设施的各项功能正常，日常维检须及时到位，设施设备外观整洁，如出现锈蚀、油漆剥落等现象，必须及时修复。</w:t>
      </w:r>
      <w:bookmarkEnd w:id="30"/>
      <w:r/>
      <w:r/>
    </w:p>
    <w:p>
      <w:pPr>
        <w:ind w:firstLine="422"/>
        <w:jc w:val="left"/>
        <w:spacing w:line="360" w:lineRule="auto"/>
        <w:widowControl/>
        <w:rPr>
          <w:rFonts w:hint="eastAsia" w:ascii="宋体" w:hAnsi="宋体" w:cs="宋体"/>
          <w:b/>
          <w:szCs w:val="21"/>
        </w:rPr>
      </w:pPr>
      <w:r/>
      <w:bookmarkStart w:id="31" w:name="_Toc367894018"/>
      <w:r>
        <w:rPr>
          <w:rFonts w:hint="eastAsia" w:ascii="宋体" w:hAnsi="宋体" w:cs="宋体"/>
          <w:b/>
          <w:szCs w:val="21"/>
        </w:rPr>
        <w:t xml:space="preserve">2、系统营运管理要求</w:t>
      </w:r>
      <w:bookmarkEnd w:id="31"/>
      <w:r/>
      <w:r/>
    </w:p>
    <w:p>
      <w:pPr>
        <w:ind w:firstLine="424"/>
        <w:jc w:val="left"/>
        <w:spacing w:line="360" w:lineRule="auto"/>
        <w:widowControl/>
        <w:rPr>
          <w:rFonts w:ascii="宋体" w:hAnsi="宋体" w:cs="宋体"/>
          <w:szCs w:val="21"/>
        </w:rPr>
      </w:pPr>
      <w:r>
        <w:rPr>
          <w:rFonts w:hint="eastAsia" w:ascii="宋体" w:hAnsi="宋体" w:cs="宋体"/>
          <w:szCs w:val="21"/>
        </w:rPr>
        <w:t xml:space="preserve">2.1 系统要求：</w:t>
      </w:r>
      <w:r>
        <w:rPr>
          <w:rFonts w:ascii="宋体" w:hAnsi="宋体" w:cs="宋体"/>
          <w:szCs w:val="21"/>
        </w:rPr>
        <w:t xml:space="preserve">24小时自助借还车；24小时后台监控</w:t>
      </w:r>
      <w:r>
        <w:rPr>
          <w:rFonts w:hint="eastAsia" w:ascii="宋体" w:hAnsi="宋体" w:cs="宋体"/>
          <w:szCs w:val="21"/>
        </w:rPr>
        <w:t xml:space="preserve">（应对时间必须控制在20分钟之内）</w:t>
      </w:r>
      <w:r>
        <w:rPr>
          <w:rFonts w:ascii="宋体" w:hAnsi="宋体" w:cs="宋体"/>
          <w:szCs w:val="21"/>
        </w:rPr>
        <w:t xml:space="preserve">；杜绝</w:t>
      </w:r>
      <w:r>
        <w:rPr>
          <w:rFonts w:hint="eastAsia" w:ascii="宋体" w:hAnsi="宋体" w:cs="宋体"/>
          <w:szCs w:val="21"/>
        </w:rPr>
        <w:t xml:space="preserve">站点无车可借、</w:t>
      </w:r>
      <w:r>
        <w:rPr>
          <w:rFonts w:ascii="宋体" w:hAnsi="宋体" w:cs="宋体"/>
          <w:szCs w:val="21"/>
        </w:rPr>
        <w:t xml:space="preserve">无空</w:t>
      </w:r>
      <w:r>
        <w:rPr>
          <w:rFonts w:hint="eastAsia" w:ascii="宋体" w:hAnsi="宋体" w:cs="宋体"/>
          <w:szCs w:val="21"/>
        </w:rPr>
        <w:t xml:space="preserve">位</w:t>
      </w:r>
      <w:r>
        <w:rPr>
          <w:rFonts w:ascii="宋体" w:hAnsi="宋体" w:cs="宋体"/>
          <w:szCs w:val="21"/>
        </w:rPr>
        <w:t xml:space="preserve">可还的现象</w:t>
      </w:r>
      <w:r>
        <w:rPr>
          <w:rFonts w:hint="eastAsia" w:ascii="宋体" w:hAnsi="宋体" w:cs="宋体"/>
          <w:szCs w:val="21"/>
        </w:rPr>
        <w:t xml:space="preserve">，系统</w:t>
      </w:r>
      <w:r>
        <w:rPr>
          <w:rFonts w:ascii="宋体" w:hAnsi="宋体" w:cs="宋体"/>
          <w:szCs w:val="21"/>
        </w:rPr>
        <w:t xml:space="preserve">完好率</w:t>
      </w:r>
      <w:r>
        <w:rPr>
          <w:rFonts w:hint="eastAsia" w:ascii="宋体" w:hAnsi="宋体" w:cs="宋体"/>
          <w:szCs w:val="21"/>
        </w:rPr>
        <w:t xml:space="preserve">要达到</w:t>
      </w:r>
      <w:r>
        <w:rPr>
          <w:rFonts w:ascii="宋体" w:hAnsi="宋体" w:cs="宋体"/>
          <w:szCs w:val="21"/>
        </w:rPr>
        <w:t xml:space="preserve">98%</w:t>
      </w:r>
      <w:r>
        <w:rPr>
          <w:rFonts w:hint="eastAsia" w:ascii="宋体" w:hAnsi="宋体" w:cs="宋体"/>
          <w:szCs w:val="21"/>
        </w:rPr>
        <w:t xml:space="preserve">以上，确保本次标的物在服务区域最优化运行，方便市民出行。</w:t>
      </w:r>
      <w:r/>
    </w:p>
    <w:p>
      <w:pPr>
        <w:ind w:firstLine="424"/>
        <w:jc w:val="left"/>
        <w:spacing w:line="360" w:lineRule="auto"/>
        <w:widowControl/>
        <w:rPr>
          <w:rFonts w:ascii="宋体" w:hAnsi="宋体" w:cs="宋体"/>
          <w:szCs w:val="21"/>
        </w:rPr>
      </w:pPr>
      <w:r>
        <w:rPr>
          <w:rFonts w:hint="eastAsia" w:ascii="宋体" w:hAnsi="宋体" w:cs="宋体"/>
          <w:szCs w:val="21"/>
        </w:rPr>
        <w:t xml:space="preserve">（1）软件可实时监控各个站点公共自行车的借还状态。</w:t>
      </w:r>
      <w:r/>
    </w:p>
    <w:p>
      <w:pPr>
        <w:ind w:firstLine="424"/>
        <w:jc w:val="left"/>
        <w:spacing w:line="360" w:lineRule="auto"/>
        <w:widowControl/>
        <w:rPr>
          <w:rFonts w:ascii="宋体" w:hAnsi="宋体" w:cs="宋体"/>
          <w:szCs w:val="21"/>
        </w:rPr>
      </w:pPr>
      <w:r>
        <w:rPr>
          <w:rFonts w:hint="eastAsia" w:ascii="宋体" w:hAnsi="宋体" w:cs="宋体"/>
          <w:szCs w:val="21"/>
        </w:rPr>
        <w:t xml:space="preserve">（2）实时监控各个站点的供电电压，并具备提前预警。</w:t>
      </w:r>
      <w:r/>
    </w:p>
    <w:p>
      <w:pPr>
        <w:ind w:firstLine="424"/>
        <w:jc w:val="left"/>
        <w:spacing w:line="360" w:lineRule="auto"/>
        <w:widowControl/>
        <w:rPr>
          <w:rFonts w:ascii="宋体" w:hAnsi="宋体" w:cs="宋体"/>
          <w:szCs w:val="21"/>
        </w:rPr>
      </w:pPr>
      <w:r>
        <w:rPr>
          <w:rFonts w:hint="eastAsia" w:ascii="宋体" w:hAnsi="宋体" w:cs="宋体"/>
          <w:szCs w:val="21"/>
        </w:rPr>
        <w:t xml:space="preserve">（3）系统可以通过网络进行远端维护和远程控制，网络数据确保安全。</w:t>
      </w:r>
      <w:r/>
    </w:p>
    <w:p>
      <w:pPr>
        <w:ind w:firstLine="424"/>
        <w:jc w:val="left"/>
        <w:spacing w:line="360" w:lineRule="auto"/>
        <w:widowControl/>
        <w:rPr>
          <w:rFonts w:ascii="宋体" w:hAnsi="宋体" w:cs="宋体"/>
          <w:szCs w:val="21"/>
        </w:rPr>
      </w:pPr>
      <w:r>
        <w:rPr>
          <w:rFonts w:hint="eastAsia" w:ascii="宋体" w:hAnsi="宋体" w:cs="宋体"/>
          <w:szCs w:val="21"/>
        </w:rPr>
        <w:t xml:space="preserve">（4）系统实行24小时借还车服务。</w:t>
      </w:r>
      <w:r/>
    </w:p>
    <w:p>
      <w:pPr>
        <w:ind w:firstLine="424"/>
        <w:jc w:val="left"/>
        <w:spacing w:line="360" w:lineRule="auto"/>
        <w:widowControl/>
        <w:rPr>
          <w:rFonts w:ascii="宋体" w:hAnsi="宋体" w:cs="宋体"/>
          <w:szCs w:val="21"/>
        </w:rPr>
      </w:pPr>
      <w:r>
        <w:rPr>
          <w:rFonts w:hint="eastAsia" w:ascii="宋体" w:hAnsi="宋体" w:cs="宋体"/>
          <w:szCs w:val="21"/>
        </w:rPr>
        <w:t xml:space="preserve">（5）具有运营信息查询功能和统计报表功能。</w:t>
      </w:r>
      <w:r/>
    </w:p>
    <w:p>
      <w:pPr>
        <w:ind w:firstLine="424"/>
        <w:jc w:val="left"/>
        <w:spacing w:line="360" w:lineRule="auto"/>
        <w:widowControl/>
        <w:rPr>
          <w:rFonts w:ascii="宋体" w:hAnsi="宋体" w:cs="宋体"/>
          <w:szCs w:val="21"/>
        </w:rPr>
      </w:pPr>
      <w:r>
        <w:rPr>
          <w:rFonts w:hint="eastAsia" w:ascii="宋体" w:hAnsi="宋体" w:cs="宋体"/>
          <w:szCs w:val="21"/>
        </w:rPr>
        <w:t xml:space="preserve">（6）建立门户网站，网站上能够实时动态显示各个站点的可借和可还公共自行车的信息。</w:t>
      </w:r>
      <w:r/>
    </w:p>
    <w:p>
      <w:pPr>
        <w:ind w:firstLine="424"/>
        <w:jc w:val="left"/>
        <w:spacing w:line="360" w:lineRule="auto"/>
        <w:widowControl/>
        <w:rPr>
          <w:rFonts w:ascii="宋体" w:hAnsi="宋体" w:cs="宋体"/>
          <w:szCs w:val="21"/>
        </w:rPr>
      </w:pPr>
      <w:r>
        <w:rPr>
          <w:rFonts w:hint="eastAsia" w:ascii="宋体" w:hAnsi="宋体" w:cs="宋体"/>
          <w:szCs w:val="21"/>
        </w:rPr>
        <w:t xml:space="preserve">（7）系统具备盘点功能（现场设备及公共自行车等设备）。</w:t>
      </w:r>
      <w:r/>
    </w:p>
    <w:p>
      <w:pPr>
        <w:ind w:firstLine="424"/>
        <w:jc w:val="left"/>
        <w:spacing w:line="360" w:lineRule="auto"/>
        <w:widowControl/>
        <w:rPr>
          <w:rFonts w:ascii="宋体" w:hAnsi="宋体" w:cs="宋体"/>
          <w:szCs w:val="21"/>
        </w:rPr>
      </w:pPr>
      <w:r>
        <w:rPr>
          <w:rFonts w:hint="eastAsia" w:ascii="宋体" w:hAnsi="宋体" w:cs="宋体"/>
          <w:szCs w:val="21"/>
        </w:rPr>
        <w:t xml:space="preserve">（8）具备与各区镇公共自行车系统、第三方绩效考核系统、市民卡、智慧昆山等对接功能并配合政府要求开放协议接口对接相关数据平台。</w:t>
      </w:r>
      <w:r/>
    </w:p>
    <w:p>
      <w:pPr>
        <w:ind w:firstLine="424"/>
        <w:jc w:val="left"/>
        <w:spacing w:line="360" w:lineRule="auto"/>
        <w:widowControl/>
        <w:rPr>
          <w:rFonts w:hint="eastAsia" w:ascii="宋体" w:hAnsi="宋体" w:cs="宋体"/>
          <w:szCs w:val="21"/>
        </w:rPr>
      </w:pPr>
      <w:r>
        <w:rPr>
          <w:rFonts w:hint="eastAsia" w:ascii="宋体" w:hAnsi="宋体" w:cs="宋体"/>
          <w:szCs w:val="21"/>
        </w:rPr>
        <w:t xml:space="preserve">2.2 站点现场管理要求：有专业巡检人员每天按计划检查各站点设施设备运行状态，如站点电压、设施设备损坏、网络信号、锁车柱松动、锈蚀等，确保在第一时间发现并解决问题，确保站点设施设备运行正常，站点车辆整洁无故障，站点保洁工作到位，并向招标人提供管理日志。</w:t>
      </w:r>
      <w:r/>
    </w:p>
    <w:p>
      <w:pPr>
        <w:ind w:firstLine="424"/>
        <w:jc w:val="left"/>
        <w:spacing w:line="360" w:lineRule="auto"/>
        <w:widowControl/>
        <w:rPr>
          <w:rFonts w:ascii="宋体" w:hAnsi="宋体" w:cs="宋体"/>
          <w:szCs w:val="21"/>
        </w:rPr>
      </w:pPr>
      <w:r>
        <w:rPr>
          <w:rFonts w:hint="eastAsia" w:ascii="宋体" w:hAnsi="宋体" w:cs="宋体"/>
          <w:szCs w:val="21"/>
        </w:rPr>
        <w:t xml:space="preserve">2.3 车辆调度要求：分析高新区公共自行车交通出行规律，合理分配调度车辆，同时根据各公共自行车站点车辆上限或下限报警、各站点公共自行车运行状态，及时发布现场调度通知及显示调度车运行轨迹，并将调度运营数据无条件接入绩效考核系统。 </w:t>
      </w:r>
      <w:r/>
    </w:p>
    <w:p>
      <w:pPr>
        <w:ind w:firstLine="424"/>
        <w:jc w:val="left"/>
        <w:spacing w:line="360" w:lineRule="auto"/>
        <w:widowControl/>
        <w:rPr>
          <w:rFonts w:ascii="宋体" w:hAnsi="宋体" w:cs="宋体"/>
          <w:szCs w:val="21"/>
        </w:rPr>
      </w:pPr>
      <w:r>
        <w:rPr>
          <w:rFonts w:hint="eastAsia" w:ascii="宋体" w:hAnsi="宋体" w:cs="宋体"/>
          <w:szCs w:val="21"/>
        </w:rPr>
        <w:t xml:space="preserve">2.4 站点车辆及环境卫生要求：根据车辆使用情况，安排足够数量的专职车辆维保人员每天进行巡查检修站点车辆，安排专职保洁人员按行业标准对站点设施进行每天保洁维护。</w:t>
      </w:r>
      <w:r/>
    </w:p>
    <w:p>
      <w:pPr>
        <w:ind w:firstLine="424"/>
        <w:jc w:val="left"/>
        <w:spacing w:line="360" w:lineRule="auto"/>
        <w:widowControl/>
        <w:rPr>
          <w:rFonts w:ascii="宋体" w:hAnsi="宋体" w:cs="宋体"/>
          <w:szCs w:val="21"/>
        </w:rPr>
      </w:pPr>
      <w:r>
        <w:rPr>
          <w:rFonts w:hint="eastAsia" w:ascii="宋体" w:hAnsi="宋体" w:cs="宋体"/>
          <w:szCs w:val="21"/>
        </w:rPr>
        <w:t xml:space="preserve">2.5 故障报修及维修处理：巡检人员发现故障及时报修，自行车一般故障修复不得大于3天，特殊故障修复不得大于7天，配备专业人员及和专业检修工具，所有检修维修记录必须记录电子台账。</w:t>
      </w:r>
      <w:r/>
    </w:p>
    <w:p>
      <w:pPr>
        <w:ind w:firstLine="424"/>
        <w:jc w:val="left"/>
        <w:spacing w:line="360" w:lineRule="auto"/>
        <w:widowControl/>
        <w:rPr>
          <w:rFonts w:ascii="宋体" w:hAnsi="宋体" w:cs="宋体"/>
          <w:szCs w:val="21"/>
        </w:rPr>
      </w:pPr>
      <w:r>
        <w:rPr>
          <w:rFonts w:hint="eastAsia" w:ascii="宋体" w:hAnsi="宋体" w:cs="宋体"/>
          <w:szCs w:val="21"/>
        </w:rPr>
        <w:t xml:space="preserve">2.6 客服电话及投诉处理要求：</w:t>
      </w:r>
      <w:r>
        <w:rPr>
          <w:rFonts w:ascii="宋体" w:hAnsi="宋体" w:cs="宋体"/>
          <w:szCs w:val="21"/>
        </w:rPr>
        <w:t xml:space="preserve">24小时热线电话服务</w:t>
      </w:r>
      <w:r>
        <w:rPr>
          <w:rFonts w:hint="eastAsia" w:ascii="宋体" w:hAnsi="宋体" w:cs="宋体"/>
          <w:szCs w:val="21"/>
        </w:rPr>
        <w:t xml:space="preserve">必须保证通畅，占线时间控制在5分钟以内，客服电话接听以及事后处理等业务要加强培训，体现专业服务水平；</w:t>
      </w:r>
      <w:r>
        <w:rPr>
          <w:rFonts w:ascii="宋体" w:hAnsi="宋体" w:cs="宋体"/>
          <w:szCs w:val="21"/>
        </w:rPr>
        <w:t xml:space="preserve">用户投诉处理</w:t>
      </w:r>
      <w:r>
        <w:rPr>
          <w:rFonts w:hint="eastAsia" w:ascii="宋体" w:hAnsi="宋体" w:cs="宋体"/>
          <w:szCs w:val="21"/>
        </w:rPr>
        <w:t xml:space="preserve">限当日完成，回复要有依有据，语气平和，不得敷衍了事并做好电话录音及投诉记录，纳入考核范围（重复投诉处理详见昆山市公共自行车服务运营管理考评细则）。</w:t>
      </w:r>
      <w:r/>
    </w:p>
    <w:p>
      <w:pPr>
        <w:ind w:firstLine="424"/>
        <w:jc w:val="left"/>
        <w:spacing w:line="360" w:lineRule="auto"/>
        <w:widowControl/>
        <w:rPr>
          <w:rFonts w:ascii="宋体" w:hAnsi="宋体" w:cs="宋体"/>
          <w:szCs w:val="21"/>
        </w:rPr>
      </w:pPr>
      <w:r>
        <w:rPr>
          <w:rFonts w:hint="eastAsia" w:ascii="宋体" w:hAnsi="宋体" w:cs="宋体"/>
          <w:szCs w:val="21"/>
        </w:rPr>
        <w:t xml:space="preserve">2.7 设备的更新要求：运营服务期内，若设备损坏不能使用或报废的，中标人需无条件更新设备（</w:t>
      </w:r>
      <w:r>
        <w:rPr>
          <w:rFonts w:hint="eastAsia" w:ascii="宋体" w:hAnsi="宋体" w:cs="宋体"/>
          <w:b/>
          <w:bCs/>
          <w:szCs w:val="21"/>
        </w:rPr>
        <w:t xml:space="preserve">更新设备设施及更新周期详细列于投标书中</w:t>
      </w:r>
      <w:r>
        <w:rPr>
          <w:rFonts w:hint="eastAsia" w:ascii="宋体" w:hAnsi="宋体" w:cs="宋体"/>
          <w:szCs w:val="21"/>
        </w:rPr>
        <w:t xml:space="preserve">）。</w:t>
      </w:r>
      <w:r/>
    </w:p>
    <w:p>
      <w:pPr>
        <w:ind w:firstLine="424"/>
        <w:jc w:val="left"/>
        <w:spacing w:line="360" w:lineRule="auto"/>
        <w:widowControl/>
        <w:rPr>
          <w:rFonts w:ascii="宋体" w:hAnsi="宋体" w:cs="宋体"/>
          <w:szCs w:val="21"/>
        </w:rPr>
      </w:pPr>
      <w:r>
        <w:rPr>
          <w:rFonts w:hint="eastAsia" w:ascii="宋体" w:hAnsi="宋体" w:cs="宋体"/>
          <w:szCs w:val="21"/>
        </w:rPr>
        <w:t xml:space="preserve">2.8 防盗监控要求：各站点车辆、锁车柱等设备必须加强监控，若因监控不力造成损失、损坏等，中标人必须及时修复到位，不得因监控不到位而导致的设备损坏影响自行车系统使用。</w:t>
      </w:r>
      <w:r/>
    </w:p>
    <w:p>
      <w:pPr>
        <w:ind w:firstLine="424"/>
        <w:jc w:val="left"/>
        <w:spacing w:line="360" w:lineRule="auto"/>
        <w:widowControl/>
        <w:rPr>
          <w:rFonts w:ascii="宋体" w:hAnsi="宋体" w:cs="宋体"/>
          <w:szCs w:val="21"/>
        </w:rPr>
      </w:pPr>
      <w:r>
        <w:rPr>
          <w:rFonts w:hint="eastAsia" w:ascii="宋体" w:hAnsi="宋体" w:cs="宋体"/>
          <w:szCs w:val="21"/>
        </w:rPr>
        <w:t xml:space="preserve">2.9 宣传要求：包括昆山高新区公共自行车服务的公益推广、租车卡办理方式、媒体宣传（包括通讯报道）、产品的介绍以及使用说明（包括语音提示功能）、站点的功能简介、宣传手册的制作以及站点的分布示意图，以及后期运营情况的投诉答复等（具体宣传内容根据实际情况由甲方审核后发布），相关宣传费用含在市区原有宣传模式中。</w:t>
      </w:r>
      <w:r/>
    </w:p>
    <w:p>
      <w:pPr>
        <w:ind w:firstLine="420"/>
        <w:spacing w:line="360" w:lineRule="auto"/>
        <w:tabs>
          <w:tab w:val="left" w:pos="840" w:leader="none"/>
        </w:tabs>
        <w:rPr>
          <w:rFonts w:hint="eastAsia" w:ascii="宋体" w:hAnsi="宋体"/>
          <w:szCs w:val="21"/>
        </w:rPr>
      </w:pPr>
      <w:r>
        <w:rPr>
          <w:rFonts w:hint="eastAsia" w:ascii="宋体" w:hAnsi="宋体" w:cs="宋体"/>
          <w:szCs w:val="21"/>
        </w:rPr>
        <w:t xml:space="preserve">2.10 </w:t>
      </w:r>
      <w:r>
        <w:rPr>
          <w:rFonts w:hint="eastAsia" w:ascii="宋体" w:hAnsi="宋体"/>
          <w:szCs w:val="21"/>
        </w:rPr>
        <w:t xml:space="preserve">运营调度场地要求：配备满足项目实际运营需求的办公及仓库场地及运营配套相应设备；</w:t>
      </w:r>
      <w:r/>
    </w:p>
    <w:p>
      <w:pPr>
        <w:ind w:firstLine="424"/>
        <w:jc w:val="left"/>
        <w:spacing w:line="360" w:lineRule="auto"/>
        <w:widowControl/>
        <w:rPr>
          <w:rFonts w:ascii="宋体" w:hAnsi="宋体" w:cs="宋体"/>
          <w:szCs w:val="21"/>
        </w:rPr>
      </w:pPr>
      <w:r>
        <w:rPr>
          <w:rFonts w:hint="eastAsia" w:ascii="宋体" w:hAnsi="宋体" w:cs="宋体"/>
          <w:szCs w:val="21"/>
        </w:rPr>
        <w:t xml:space="preserve">2.11响应时间要求：</w:t>
      </w:r>
      <w:r/>
    </w:p>
    <w:p>
      <w:pPr>
        <w:ind w:firstLine="424"/>
        <w:jc w:val="left"/>
        <w:spacing w:line="360" w:lineRule="auto"/>
        <w:widowControl/>
        <w:rPr>
          <w:rFonts w:hint="eastAsia" w:ascii="宋体" w:hAnsi="宋体" w:cs="宋体"/>
          <w:szCs w:val="21"/>
        </w:rPr>
      </w:pPr>
      <w:r>
        <w:rPr>
          <w:rFonts w:hint="eastAsia" w:ascii="宋体" w:hAnsi="宋体" w:cs="宋体"/>
          <w:szCs w:val="21"/>
        </w:rPr>
        <w:t xml:space="preserve">接到故障反馈，运营服务商应在10分钟内响应，在20分钟内赶到故障现场进行维护服务（包括维修配件到达服务现场），轻微情节的修理应立即排除；一般情节的故障修理须30分钟内排除；重大情节的故障修理须1小时内排除；特殊情节（交通事故等突发事件）的故障修理不得超过24小时。如设备损坏严重无法修复，应立即更换同类或者更优化产品。</w:t>
      </w:r>
      <w:r/>
    </w:p>
    <w:tbl>
      <w:tblPr>
        <w:tblStyle w:val="698"/>
        <w:tblW w:w="9505" w:type="dxa"/>
        <w:tblInd w:w="4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355"/>
        <w:gridCol w:w="2312"/>
        <w:gridCol w:w="1313"/>
        <w:gridCol w:w="1825"/>
        <w:gridCol w:w="1800"/>
      </w:tblGrid>
      <w:tr>
        <w:trPr/>
        <w:tc>
          <w:tcPr>
            <w:tcBorders>
              <w:top w:val="single" w:color="auto" w:sz="4" w:space="0"/>
              <w:left w:val="single" w:color="auto" w:sz="4" w:space="0"/>
              <w:bottom w:val="single" w:color="auto" w:sz="4" w:space="0"/>
              <w:right w:val="single" w:color="auto" w:sz="4" w:space="0"/>
            </w:tcBorders>
            <w:tcW w:w="900" w:type="dxa"/>
            <w:vAlign w:val="bottom"/>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355" w:type="dxa"/>
            <w:vAlign w:val="bottom"/>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故障情况</w:t>
            </w:r>
            <w:r/>
          </w:p>
        </w:tc>
        <w:tc>
          <w:tcPr>
            <w:tcBorders>
              <w:top w:val="single" w:color="auto" w:sz="4" w:space="0"/>
              <w:left w:val="single" w:color="auto" w:sz="4" w:space="0"/>
              <w:bottom w:val="single" w:color="auto" w:sz="4" w:space="0"/>
              <w:right w:val="single" w:color="auto" w:sz="4" w:space="0"/>
            </w:tcBorders>
            <w:tcW w:w="2312" w:type="dxa"/>
            <w:vAlign w:val="bottom"/>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313" w:type="dxa"/>
            <w:vAlign w:val="bottom"/>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响应时间</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到场时间</w:t>
            </w:r>
            <w:r/>
          </w:p>
        </w:tc>
        <w:tc>
          <w:tcPr>
            <w:tcBorders>
              <w:top w:val="single" w:color="auto" w:sz="4" w:space="0"/>
              <w:left w:val="single" w:color="auto" w:sz="4" w:space="0"/>
              <w:bottom w:val="single" w:color="auto" w:sz="4" w:space="0"/>
              <w:right w:val="single" w:color="auto" w:sz="4" w:space="0"/>
            </w:tcBorders>
            <w:tcW w:w="1800" w:type="dxa"/>
            <w:vAlign w:val="bottom"/>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解决问题时间</w:t>
            </w:r>
            <w:r/>
          </w:p>
        </w:tc>
      </w:tr>
      <w:t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轻微情节</w:t>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s="宋体"/>
                <w:szCs w:val="21"/>
              </w:rPr>
              <w:t xml:space="preserve">正确的操作可预防发生故障</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10分钟</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20分钟</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立即排除</w:t>
            </w:r>
            <w:r/>
          </w:p>
        </w:tc>
      </w:tr>
      <w:t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一般</w:t>
            </w:r>
            <w:r>
              <w:rPr>
                <w:rFonts w:hint="eastAsia" w:ascii="宋体" w:hAnsi="宋体"/>
                <w:color w:val="000000"/>
                <w:szCs w:val="21"/>
              </w:rPr>
              <w:t xml:space="preserve">情节</w:t>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s="宋体"/>
                <w:szCs w:val="21"/>
              </w:rPr>
              <w:t xml:space="preserve">一般设备或线路故障</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10分钟</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20分钟</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30分钟</w:t>
            </w:r>
            <w:r/>
          </w:p>
        </w:tc>
      </w:tr>
      <w:t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重大</w:t>
            </w:r>
            <w:r>
              <w:rPr>
                <w:rFonts w:hint="eastAsia" w:ascii="宋体" w:hAnsi="宋体"/>
                <w:color w:val="000000"/>
                <w:szCs w:val="21"/>
              </w:rPr>
              <w:t xml:space="preserve">情节</w:t>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s="宋体"/>
                <w:szCs w:val="21"/>
              </w:rPr>
              <w:t xml:space="preserve">设备运行状态危急不能正常工作</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10分钟</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20分钟</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1小时</w:t>
            </w:r>
            <w:r/>
          </w:p>
        </w:tc>
      </w:tr>
      <w:tr>
        <w:trPr>
          <w:trHeight w:val="9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特殊</w:t>
            </w:r>
            <w:r>
              <w:rPr>
                <w:rFonts w:hint="eastAsia" w:ascii="宋体" w:hAnsi="宋体"/>
                <w:color w:val="000000"/>
                <w:szCs w:val="21"/>
              </w:rPr>
              <w:t xml:space="preserve">情节</w:t>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s="宋体"/>
                <w:szCs w:val="21"/>
              </w:rPr>
              <w:t xml:space="preserve">交通事故等突发事件</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10分钟</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20分钟</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Cs w:val="21"/>
              </w:rPr>
              <w:suppressLineNumbers w:val="0"/>
            </w:pPr>
            <w:r>
              <w:rPr>
                <w:rFonts w:hint="eastAsia" w:ascii="宋体" w:hAnsi="宋体"/>
                <w:color w:val="000000"/>
                <w:szCs w:val="21"/>
              </w:rPr>
              <w:t xml:space="preserve">24小时</w:t>
            </w:r>
            <w:r/>
          </w:p>
        </w:tc>
      </w:tr>
    </w:tbl>
    <w:p>
      <w:pPr>
        <w:ind w:firstLine="424"/>
        <w:jc w:val="left"/>
        <w:spacing w:line="360" w:lineRule="auto"/>
        <w:widowControl/>
        <w:rPr>
          <w:rFonts w:hint="eastAsia" w:ascii="宋体" w:hAnsi="宋体" w:cs="宋体"/>
          <w:b/>
          <w:bCs/>
          <w:szCs w:val="21"/>
        </w:rPr>
      </w:pPr>
      <w:r>
        <w:rPr>
          <w:rFonts w:hint="eastAsia" w:ascii="宋体" w:hAnsi="宋体" w:cs="宋体"/>
          <w:szCs w:val="21"/>
        </w:rPr>
        <w:t xml:space="preserve">2.12</w:t>
      </w:r>
      <w:r>
        <w:rPr>
          <w:rFonts w:hint="eastAsia" w:ascii="宋体" w:hAnsi="宋体" w:cs="宋体"/>
          <w:b/>
          <w:bCs/>
          <w:szCs w:val="21"/>
        </w:rPr>
        <w:t xml:space="preserve">中标人须于中标后十五天内在昆山市建立1个测试站点，具备维修、运营、后台系统调试和服务能力，能实现与昆山其他区域现有公共自行车站点通借通还、数据共享等。测试站点不能满足招标文件要求的，招标人有权取消其中标资格。</w:t>
      </w:r>
      <w:r/>
    </w:p>
    <w:p>
      <w:pPr>
        <w:ind w:firstLine="420"/>
        <w:spacing w:line="360" w:lineRule="auto"/>
        <w:rPr>
          <w:rFonts w:hint="eastAsia" w:ascii="宋体" w:hAnsi="宋体"/>
          <w:bCs/>
          <w:szCs w:val="21"/>
        </w:rPr>
      </w:pPr>
      <w:r>
        <w:rPr>
          <w:rFonts w:hint="eastAsia" w:ascii="宋体" w:hAnsi="宋体"/>
          <w:bCs/>
          <w:szCs w:val="21"/>
        </w:rPr>
        <w:t xml:space="preserve">2.13财务要求：中标人必须在当地设立分支机构。建立分支机构的独立核算制度；独立建帐，做好固定资产的管理工作；体现资金的合理运用，成本、人员、设备、资金运营状况都方面要条理清晰；按照项目审计部门的要求完善验收原始资料；分支机构帐户每月保证足够的运营资金，以保证项目顺利运营。</w:t>
      </w:r>
      <w:r/>
    </w:p>
    <w:p>
      <w:pPr>
        <w:ind w:firstLine="420"/>
        <w:spacing w:line="360" w:lineRule="auto"/>
        <w:rPr>
          <w:rFonts w:hint="eastAsia" w:ascii="宋体" w:hAnsi="宋体"/>
          <w:bCs/>
          <w:szCs w:val="21"/>
        </w:rPr>
      </w:pPr>
      <w:r>
        <w:rPr>
          <w:rFonts w:hint="eastAsia" w:ascii="宋体" w:hAnsi="宋体"/>
          <w:bCs/>
          <w:szCs w:val="21"/>
        </w:rPr>
        <w:t xml:space="preserve">2.14所有接入本区公共自行车系统的项目或调用本区公共自行车系统数据，都必须上报招标人，并经得招标人同意后方可实施。</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3、其它说明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（1）运营服务期内，中标人应做好项目的日常运营台账记录，运营服务期限满后保证标的物完好、功能正常并经招标人及相关部门审核确认方可交接，交接通过后支付应付余款。</w:t>
      </w:r>
      <w:r/>
    </w:p>
    <w:p>
      <w:pPr>
        <w:ind w:firstLine="420"/>
        <w:spacing w:line="360" w:lineRule="auto"/>
        <w:rPr>
          <w:rFonts w:hint="eastAsia" w:ascii="宋体" w:hAnsi="宋体"/>
          <w:color w:val="000000"/>
          <w:szCs w:val="21"/>
        </w:rPr>
      </w:pPr>
      <w:r>
        <w:rPr>
          <w:rFonts w:hint="eastAsia" w:ascii="宋体" w:hAnsi="宋体"/>
          <w:color w:val="000000"/>
          <w:szCs w:val="21"/>
        </w:rPr>
        <w:t xml:space="preserve">（2）自行车使用及计费方法</w:t>
      </w:r>
      <w:r/>
    </w:p>
    <w:p>
      <w:pPr>
        <w:ind w:firstLine="420"/>
        <w:spacing w:line="360" w:lineRule="auto"/>
        <w:rPr>
          <w:rFonts w:hint="eastAsia" w:ascii="宋体" w:hAnsi="宋体"/>
          <w:color w:val="000000"/>
          <w:szCs w:val="21"/>
        </w:rPr>
      </w:pPr>
      <w:r>
        <w:rPr>
          <w:rFonts w:hint="eastAsia" w:ascii="宋体" w:hAnsi="宋体"/>
          <w:color w:val="000000"/>
          <w:szCs w:val="21"/>
        </w:rPr>
        <w:t xml:space="preserve">继续沿用原有项目中的关于办卡、扣分计费的方法和规定，凭市民卡、昆通卡借还车辆。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（3）服务考核</w:t>
      </w:r>
      <w:r/>
    </w:p>
    <w:p>
      <w:pPr>
        <w:ind w:firstLine="420"/>
        <w:spacing w:line="360" w:lineRule="auto"/>
        <w:rPr>
          <w:rFonts w:hint="eastAsia" w:ascii="宋体" w:hAnsi="宋体"/>
          <w:color w:val="000000"/>
          <w:szCs w:val="21"/>
        </w:rPr>
      </w:pPr>
      <w:r>
        <w:rPr>
          <w:rFonts w:hint="eastAsia" w:ascii="宋体" w:hAnsi="宋体"/>
          <w:color w:val="000000"/>
          <w:szCs w:val="21"/>
        </w:rPr>
        <w:t xml:space="preserve">按照中标人承诺和合同的约定，按合同附件《昆山高新区公共自行车服务运营管理考评细则》考核标准，由招标人组织对运营单位提供的服务进行考核，并根据考核结果支付服务费。</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七</w:t>
      </w:r>
      <w:r>
        <w:rPr>
          <w:rFonts w:hint="eastAsia" w:ascii="宋体" w:hAnsi="宋体" w:cs="宋体"/>
          <w:b/>
          <w:bCs/>
          <w:color w:val="000000"/>
          <w:szCs w:val="21"/>
          <w:highlight w:val="none"/>
        </w:rPr>
        <w:t xml:space="preserve">、其他要求</w:t>
      </w:r>
      <w:r/>
    </w:p>
    <w:p>
      <w:pPr>
        <w:ind w:firstLine="420"/>
        <w:spacing w:line="360" w:lineRule="auto"/>
        <w:rPr>
          <w:rFonts w:ascii="宋体" w:hAnsi="宋体" w:cs="宋体"/>
          <w:szCs w:val="21"/>
        </w:rPr>
      </w:pPr>
      <w:r>
        <w:rPr>
          <w:rFonts w:hint="eastAsia" w:ascii="宋体" w:hAnsi="宋体" w:cs="宋体"/>
          <w:szCs w:val="21"/>
          <w:highlight w:val="none"/>
        </w:rPr>
        <w:t xml:space="preserve">1、投标总报价应包括服务所需的人员费用、设备费用、管理费用、交通食宿费用、运费、利润、税金及合同包含的所有风险、责任等各项应有费用。</w:t>
      </w:r>
      <w:r>
        <w:rPr>
          <w:rFonts w:hint="eastAsia" w:ascii="宋体" w:hAnsi="宋体" w:cs="宋体"/>
          <w:szCs w:val="21"/>
        </w:rPr>
        <w:t xml:space="preserve">投标报价在合同实施期间不因市场变化因素而变动，除非合同另有约定或经双方协商同意，</w:t>
      </w:r>
      <w:r>
        <w:rPr>
          <w:rFonts w:hint="eastAsia" w:ascii="宋体" w:hAnsi="宋体" w:cs="宋体"/>
          <w:szCs w:val="21"/>
          <w:lang w:eastAsia="zh-CN"/>
        </w:rPr>
        <w:t xml:space="preserve">投标供应商</w:t>
      </w:r>
      <w:r>
        <w:rPr>
          <w:rFonts w:hint="eastAsia" w:ascii="宋体" w:hAnsi="宋体" w:cs="宋体"/>
          <w:szCs w:val="21"/>
        </w:rPr>
        <w:t xml:space="preserve">不得再要求追加任何费用。</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2</w:t>
      </w:r>
      <w:r>
        <w:rPr>
          <w:rFonts w:hint="eastAsia" w:ascii="宋体" w:hAnsi="宋体" w:cs="宋体"/>
          <w:bCs/>
          <w:szCs w:val="21"/>
        </w:rPr>
        <w:t xml:space="preserve">、</w:t>
      </w:r>
      <w:r>
        <w:rPr>
          <w:rFonts w:hint="eastAsia" w:ascii="宋体" w:hAnsi="宋体" w:cs="宋体"/>
          <w:bCs/>
          <w:szCs w:val="21"/>
          <w:lang w:eastAsia="zh-CN"/>
        </w:rPr>
        <w:t xml:space="preserve">投标供应商</w:t>
      </w:r>
      <w:r>
        <w:rPr>
          <w:rFonts w:hint="eastAsia" w:ascii="宋体" w:hAnsi="宋体" w:cs="宋体"/>
          <w:bCs/>
          <w:szCs w:val="21"/>
        </w:rPr>
        <w:t xml:space="preserve">要充分考虑知识产权问题，保证招标人免除且承担由于</w:t>
      </w:r>
      <w:r>
        <w:rPr>
          <w:rFonts w:hint="eastAsia" w:ascii="宋体" w:hAnsi="宋体" w:cs="宋体"/>
          <w:bCs/>
          <w:szCs w:val="21"/>
          <w:lang w:eastAsia="zh-CN"/>
        </w:rPr>
        <w:t xml:space="preserve">投标供应商</w:t>
      </w:r>
      <w:r>
        <w:rPr>
          <w:rFonts w:hint="eastAsia" w:ascii="宋体" w:hAnsi="宋体" w:cs="宋体"/>
          <w:bCs/>
          <w:szCs w:val="21"/>
        </w:rPr>
        <w:t xml:space="preserve">在其本国使用该项目所需的材料和设计或其任何一部分时而引起第三方提出的侵犯专利权、商标权或工业设计权的起诉、行动、行政程序索赔、请求等，以及招标人为此而产生的损失和损害、费用和支出（包括律师费）。</w:t>
      </w:r>
      <w:r/>
    </w:p>
    <w:p>
      <w:pPr>
        <w:ind w:firstLine="420"/>
        <w:spacing w:line="360" w:lineRule="auto"/>
        <w:rPr>
          <w:rFonts w:hint="eastAsia" w:ascii="宋体" w:hAnsi="宋体" w:cs="宋体"/>
          <w:color w:val="000000"/>
          <w:szCs w:val="21"/>
        </w:rPr>
      </w:pPr>
      <w:r>
        <w:rPr>
          <w:rFonts w:hint="eastAsia" w:ascii="宋体" w:hAnsi="宋体" w:cs="宋体"/>
          <w:szCs w:val="21"/>
          <w:lang w:val="en-US" w:eastAsia="zh-CN"/>
        </w:rPr>
        <w:t xml:space="preserve">3</w:t>
      </w:r>
      <w:r>
        <w:rPr>
          <w:rFonts w:hint="eastAsia" w:ascii="宋体" w:hAnsi="宋体" w:cs="宋体"/>
          <w:szCs w:val="21"/>
        </w:rPr>
        <w:t xml:space="preserve">、中标人所聘人员在岗履行职责期间（包括上下班途中）发生的一切安全事故，均由中标人负责处</w:t>
      </w:r>
      <w:r>
        <w:rPr>
          <w:rFonts w:hint="eastAsia" w:ascii="宋体" w:hAnsi="宋体" w:cs="宋体"/>
          <w:color w:val="000000"/>
          <w:szCs w:val="21"/>
        </w:rPr>
        <w:t xml:space="preserve">理并承担经济和道义上的责任，招标人不承担任何责任。</w:t>
      </w:r>
      <w:r/>
    </w:p>
    <w:p>
      <w:pPr>
        <w:ind w:firstLine="422"/>
        <w:spacing w:line="360" w:lineRule="auto"/>
        <w:rPr>
          <w:rFonts w:hint="eastAsia" w:ascii="宋体" w:hAnsi="宋体" w:cs="宋体"/>
          <w:b/>
          <w:bCs/>
          <w:color w:val="000000"/>
          <w:szCs w:val="21"/>
        </w:rPr>
      </w:pPr>
      <w:r>
        <w:rPr>
          <w:rFonts w:hint="eastAsia" w:ascii="宋体" w:hAnsi="宋体" w:cs="宋体"/>
          <w:color w:val="000000"/>
          <w:szCs w:val="21"/>
          <w:lang w:val="en-US" w:eastAsia="zh-CN"/>
        </w:rPr>
        <w:t xml:space="preserve">4</w:t>
      </w:r>
      <w:r>
        <w:rPr>
          <w:rFonts w:hint="eastAsia" w:ascii="宋体" w:hAnsi="宋体" w:cs="宋体"/>
          <w:b/>
          <w:bCs/>
          <w:color w:val="000000"/>
          <w:szCs w:val="21"/>
        </w:rPr>
        <w:t xml:space="preserve">投标人应根据服务内容制定相应的服务方案。投标人响应本章节及合同文本的全部要求，否则为无效标，如果其中某些条款不响应时，应在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p>
    <w:p>
      <w:pPr>
        <w:pStyle w:val="720"/>
        <w:spacing w:after="0" w:line="360" w:lineRule="auto"/>
        <w:rPr>
          <w:rFonts w:hint="eastAsia" w:ascii="宋体" w:hAnsi="宋体" w:cs="宋体"/>
          <w:sz w:val="21"/>
          <w:szCs w:val="21"/>
        </w:rPr>
      </w:pPr>
      <w:r>
        <w:rPr>
          <w:rFonts w:hint="eastAsia" w:ascii="宋体" w:hAnsi="宋体" w:cs="宋体"/>
          <w:sz w:val="21"/>
          <w:szCs w:val="21"/>
        </w:rPr>
        <w:t xml:space="preserve">4、中标人必须依法用工。</w:t>
      </w:r>
      <w:r/>
    </w:p>
    <w:p>
      <w:pPr>
        <w:pStyle w:val="720"/>
        <w:spacing w:after="0" w:line="360" w:lineRule="auto"/>
        <w:rPr>
          <w:rFonts w:hint="eastAsia" w:ascii="宋体" w:hAnsi="宋体" w:cs="宋体"/>
          <w:sz w:val="21"/>
          <w:szCs w:val="21"/>
        </w:rPr>
      </w:pPr>
      <w:r>
        <w:rPr>
          <w:rFonts w:hint="eastAsia" w:ascii="宋体" w:hAnsi="宋体" w:cs="宋体"/>
          <w:sz w:val="21"/>
          <w:szCs w:val="21"/>
          <w:lang w:val="en-US" w:eastAsia="zh-CN"/>
        </w:rPr>
        <w:t xml:space="preserve">5</w:t>
      </w:r>
      <w:r>
        <w:rPr>
          <w:rFonts w:hint="eastAsia" w:ascii="宋体" w:hAnsi="宋体" w:cs="宋体"/>
          <w:sz w:val="21"/>
          <w:szCs w:val="21"/>
        </w:rPr>
        <w:t xml:space="preserve">、凡涉及招标文件的补充说明和修改，均以</w:t>
      </w:r>
      <w:r>
        <w:rPr>
          <w:rFonts w:hint="eastAsia" w:ascii="宋体" w:hAnsi="宋体" w:cs="宋体"/>
          <w:sz w:val="21"/>
          <w:szCs w:val="21"/>
          <w:lang w:eastAsia="zh-CN"/>
        </w:rPr>
        <w:t xml:space="preserve">江苏省</w:t>
      </w:r>
      <w:r>
        <w:rPr>
          <w:rFonts w:hint="eastAsia" w:ascii="宋体" w:hAnsi="宋体" w:cs="宋体"/>
          <w:sz w:val="21"/>
          <w:szCs w:val="21"/>
        </w:rPr>
        <w:t xml:space="preserve">政府采购网上发布的公告为准。</w:t>
      </w:r>
      <w:r/>
    </w:p>
    <w:p>
      <w:pPr>
        <w:pStyle w:val="720"/>
        <w:ind w:left="0" w:firstLine="422"/>
        <w:keepLines w:val="0"/>
        <w:keepNext w:val="0"/>
        <w:pageBreakBefore w:val="0"/>
        <w:spacing w:after="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rPr>
      </w:r>
      <w:r/>
    </w:p>
    <w:p>
      <w:pPr>
        <w:pStyle w:val="720"/>
        <w:ind w:left="0" w:firstLine="422"/>
        <w:keepLines w:val="0"/>
        <w:keepNext w:val="0"/>
        <w:pageBreakBefore w:val="0"/>
        <w:spacing w:after="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rPr>
      </w:r>
      <w:r/>
    </w:p>
    <w:p>
      <w:pPr>
        <w:pStyle w:val="720"/>
        <w:ind w:left="0" w:firstLine="422"/>
        <w:keepLines w:val="0"/>
        <w:keepNext w:val="0"/>
        <w:pageBreakBefore w:val="0"/>
        <w:spacing w:after="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rPr>
      </w:r>
      <w:r/>
    </w:p>
    <w:p>
      <w:pPr>
        <w:pStyle w:val="720"/>
        <w:spacing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ind w:firstLine="426"/>
        <w:spacing w:line="360" w:lineRule="auto"/>
        <w:widowControl/>
        <w:rPr>
          <w:rFonts w:hint="eastAsia" w:ascii="宋体" w:hAnsi="宋体" w:cs="宋体"/>
          <w:b/>
          <w:bCs/>
          <w:szCs w:val="21"/>
          <w:lang w:eastAsia="zh-CN"/>
        </w:rPr>
      </w:pPr>
      <w:r>
        <w:rPr>
          <w:rFonts w:hint="eastAsia" w:ascii="宋体" w:hAnsi="宋体" w:cs="宋体"/>
          <w:b/>
          <w:bCs/>
          <w:szCs w:val="21"/>
          <w:lang w:eastAsia="zh-CN"/>
        </w:rPr>
      </w:r>
      <w:r/>
    </w:p>
    <w:p>
      <w:pPr>
        <w:pStyle w:val="699"/>
        <w:ind w:right="0" w:firstLine="420"/>
        <w:jc w:val="both"/>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highlight w:val="none"/>
          <w:lang w:val="en-US" w:eastAsia="zh-CN"/>
        </w:rPr>
        <w:outlineLvl w:val="9"/>
      </w:pPr>
      <w:r>
        <w:rPr>
          <w:rFonts w:hint="eastAsia" w:asciiTheme="minorEastAsia" w:hAnsiTheme="minorEastAsia" w:eastAsiaTheme="minorEastAsia" w:cstheme="minorEastAsia"/>
          <w:color w:val="auto"/>
          <w:spacing w:val="0"/>
          <w:sz w:val="21"/>
          <w:szCs w:val="21"/>
          <w:highlight w:val="none"/>
          <w:lang w:eastAsia="zh-CN"/>
        </w:rPr>
        <w:t xml:space="preserve">采购</w:t>
      </w:r>
      <w:r>
        <w:rPr>
          <w:rFonts w:hint="eastAsia" w:asciiTheme="minorEastAsia" w:hAnsiTheme="minorEastAsia" w:eastAsiaTheme="minorEastAsia" w:cstheme="minorEastAsia"/>
          <w:color w:val="auto"/>
          <w:spacing w:val="0"/>
          <w:sz w:val="21"/>
          <w:szCs w:val="21"/>
          <w:highlight w:val="none"/>
          <w:lang w:val="en-US" w:eastAsia="zh-CN"/>
        </w:rPr>
        <w:t xml:space="preserve">人</w:t>
      </w:r>
      <w:r>
        <w:rPr>
          <w:rFonts w:hint="eastAsia" w:asciiTheme="minorEastAsia" w:hAnsiTheme="minorEastAsia" w:eastAsiaTheme="minorEastAsia" w:cstheme="minorEastAsia"/>
          <w:color w:val="auto"/>
          <w:spacing w:val="0"/>
          <w:sz w:val="21"/>
          <w:szCs w:val="21"/>
          <w:highlight w:val="none"/>
          <w:lang w:eastAsia="zh-CN"/>
        </w:rPr>
        <w:t xml:space="preserve">：</w:t>
      </w:r>
      <w:r>
        <w:rPr>
          <w:rFonts w:hint="eastAsia" w:asciiTheme="minorEastAsia" w:hAnsiTheme="minorEastAsia" w:eastAsiaTheme="minorEastAsia" w:cstheme="minorEastAsia"/>
          <w:color w:val="auto"/>
          <w:spacing w:val="0"/>
          <w:sz w:val="21"/>
          <w:szCs w:val="21"/>
          <w:highlight w:val="none"/>
          <w:u w:val="single"/>
          <w:lang w:eastAsia="zh-CN"/>
        </w:rPr>
        <w:t xml:space="preserve"> </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w:t>
      </w:r>
      <w:r>
        <w:rPr>
          <w:rFonts w:hint="eastAsia" w:asciiTheme="minorEastAsia" w:hAnsiTheme="minorEastAsia" w:eastAsiaTheme="minorEastAsia" w:cstheme="minorEastAsia"/>
          <w:color w:val="auto"/>
          <w:spacing w:val="0"/>
          <w:sz w:val="21"/>
          <w:szCs w:val="21"/>
          <w:highlight w:val="none"/>
          <w:lang w:eastAsia="zh-CN"/>
        </w:rPr>
        <w:t xml:space="preserve">甲方）</w:t>
      </w:r>
      <w:r/>
    </w:p>
    <w:p>
      <w:pPr>
        <w:pStyle w:val="699"/>
        <w:ind w:right="0" w:firstLine="420"/>
        <w:jc w:val="left"/>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rPr>
        <w:outlineLvl w:val="9"/>
      </w:pPr>
      <w:r>
        <w:rPr>
          <w:rFonts w:hint="eastAsia" w:asciiTheme="minorEastAsia" w:hAnsiTheme="minorEastAsia" w:eastAsiaTheme="minorEastAsia" w:cstheme="minorEastAsia"/>
          <w:color w:val="auto"/>
          <w:spacing w:val="0"/>
          <w:sz w:val="21"/>
          <w:szCs w:val="21"/>
          <w:highlight w:val="none"/>
          <w:lang w:val="en-US" w:eastAsia="zh-CN"/>
        </w:rPr>
        <w:t xml:space="preserve">服务方</w:t>
      </w:r>
      <w:r>
        <w:rPr>
          <w:rFonts w:hint="eastAsia" w:asciiTheme="minorEastAsia" w:hAnsiTheme="minorEastAsia" w:eastAsiaTheme="minorEastAsia" w:cstheme="minorEastAsia"/>
          <w:color w:val="auto"/>
          <w:spacing w:val="0"/>
          <w:sz w:val="21"/>
          <w:szCs w:val="21"/>
          <w:highlight w:val="none"/>
        </w:rPr>
        <w:t xml:space="preserve">：</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（以下简称乙</w:t>
      </w:r>
      <w:r>
        <w:rPr>
          <w:rFonts w:hint="eastAsia" w:asciiTheme="minorEastAsia" w:hAnsiTheme="minorEastAsia" w:eastAsiaTheme="minorEastAsia" w:cstheme="minorEastAsia"/>
          <w:color w:val="auto"/>
          <w:spacing w:val="0"/>
          <w:sz w:val="21"/>
          <w:szCs w:val="21"/>
          <w:highlight w:val="none"/>
          <w:lang w:eastAsia="zh-CN"/>
        </w:rPr>
        <w:t xml:space="preserve">方）</w:t>
      </w:r>
      <w:r/>
    </w:p>
    <w:p>
      <w:pPr>
        <w:ind w:firstLine="42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Style w:val="705"/>
        <w:ind w:left="0" w:firstLine="480"/>
        <w:keepLines w:val="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根据《</w:t>
      </w:r>
      <w:r>
        <w:rPr>
          <w:rFonts w:ascii="宋体" w:hAnsi="宋体" w:eastAsia="宋体"/>
          <w:color w:val="000000"/>
          <w:sz w:val="21"/>
          <w:szCs w:val="21"/>
        </w:rPr>
        <w:t xml:space="preserve">中华人民共</w:t>
      </w:r>
      <w:r>
        <w:rPr>
          <w:rFonts w:ascii="宋体" w:hAnsi="宋体" w:eastAsia="宋体"/>
          <w:sz w:val="21"/>
          <w:szCs w:val="21"/>
        </w:rPr>
        <w:t xml:space="preserve">和国</w:t>
      </w:r>
      <w:r>
        <w:rPr>
          <w:rFonts w:hint="eastAsia" w:ascii="宋体" w:hAnsi="宋体" w:eastAsia="宋体"/>
          <w:sz w:val="21"/>
          <w:szCs w:val="21"/>
        </w:rPr>
        <w:t xml:space="preserve">民法典》和《</w:t>
      </w:r>
      <w:r>
        <w:rPr>
          <w:rFonts w:ascii="宋体" w:hAnsi="宋体" w:eastAsia="宋体"/>
          <w:sz w:val="21"/>
          <w:szCs w:val="21"/>
        </w:rPr>
        <w:t xml:space="preserve">中华人民共和国</w:t>
      </w:r>
      <w:r>
        <w:rPr>
          <w:rFonts w:hint="eastAsia" w:ascii="宋体" w:hAnsi="宋体" w:eastAsia="宋体"/>
          <w:sz w:val="21"/>
          <w:szCs w:val="21"/>
        </w:rPr>
        <w:t xml:space="preserve">政府采购</w:t>
      </w:r>
      <w:r>
        <w:rPr>
          <w:rFonts w:ascii="宋体" w:hAnsi="宋体" w:eastAsia="宋体"/>
          <w:sz w:val="21"/>
          <w:szCs w:val="21"/>
        </w:rPr>
        <w:t xml:space="preserve">法</w:t>
      </w:r>
      <w:r>
        <w:rPr>
          <w:rFonts w:hint="eastAsia" w:ascii="宋体" w:hAnsi="宋体" w:eastAsia="宋体"/>
          <w:sz w:val="21"/>
          <w:szCs w:val="21"/>
        </w:rPr>
        <w:t xml:space="preserve">》等有关法律法规，为明确招标人（甲方）和服务单位（乙方）在合同履约过程中的权利、义务和经济责任，双方遵循平等、自愿、公平和诚实信用原则，经友好协商</w:t>
      </w:r>
      <w:r>
        <w:rPr>
          <w:rFonts w:hint="eastAsia" w:ascii="宋体" w:hAnsi="宋体" w:eastAsia="宋体"/>
          <w:color w:val="000000"/>
          <w:sz w:val="21"/>
          <w:szCs w:val="21"/>
        </w:rPr>
        <w:t xml:space="preserve">，同意按照下面的条款和条件订立本合同，以资共同遵守。</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一、项目名称：昆山高新区公共自行车运营服务  </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二、项目内容：</w:t>
      </w:r>
      <w:r/>
    </w:p>
    <w:p>
      <w:pPr>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szCs w:val="21"/>
        </w:rPr>
        <w:t xml:space="preserve">1、服务内容</w:t>
      </w:r>
      <w:r>
        <w:rPr>
          <w:rFonts w:hint="eastAsia" w:ascii="宋体" w:hAnsi="宋体" w:cs="宋体"/>
          <w:color w:val="000000"/>
          <w:szCs w:val="21"/>
        </w:rPr>
        <w:t xml:space="preserve">：</w:t>
      </w:r>
      <w:r>
        <w:rPr>
          <w:rFonts w:hint="eastAsia" w:ascii="宋体" w:hAnsi="宋体" w:cs="宋体"/>
          <w:color w:val="000000"/>
          <w:szCs w:val="21"/>
          <w:lang w:eastAsia="zh-CN"/>
        </w:rPr>
        <w:t xml:space="preserve">乙方</w:t>
      </w:r>
      <w:r>
        <w:rPr>
          <w:rFonts w:hint="eastAsia" w:ascii="宋体" w:hAnsi="宋体" w:cs="宋体"/>
          <w:color w:val="000000"/>
          <w:szCs w:val="21"/>
        </w:rPr>
        <w:t xml:space="preserve">负责昆山高新区范围内公共自行车的运营服务，保证所有站点及站内所有设施设备、基站系统运行良好。</w:t>
      </w:r>
      <w:r>
        <w:rPr>
          <w:rFonts w:hint="eastAsia" w:ascii="宋体" w:hAnsi="宋体" w:cs="宋体"/>
          <w:szCs w:val="21"/>
        </w:rPr>
        <w:t xml:space="preserve">详见招标文件及乙方投标文件</w:t>
      </w:r>
      <w:r>
        <w:rPr>
          <w:rFonts w:hint="eastAsia" w:ascii="宋体" w:hAnsi="宋体" w:cs="宋体"/>
          <w:color w:val="000000"/>
          <w:szCs w:val="21"/>
        </w:rPr>
        <w:t xml:space="preserve">。</w:t>
      </w:r>
      <w:r/>
    </w:p>
    <w:p>
      <w:pPr>
        <w:ind w:firstLine="420"/>
        <w:keepLines w:val="0"/>
        <w:keepNext w:val="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2、高新区范围内公共自行车站点主要设施情况及服务时间</w:t>
      </w:r>
      <w:r/>
    </w:p>
    <w:p>
      <w:pPr>
        <w:ind w:firstLine="420"/>
        <w:keepLines w:val="0"/>
        <w:keepNext w:val="0"/>
        <w:pageBreakBefore w:val="0"/>
        <w:spacing w:line="360" w:lineRule="auto"/>
        <w:widowControl w:val="off"/>
        <w:rPr>
          <w:rFonts w:hint="eastAsia" w:ascii="宋体" w:hAnsi="宋体" w:cs="宋体"/>
          <w:b w:val="0"/>
          <w:bCs w:val="0"/>
          <w:szCs w:val="21"/>
          <w:highlight w:val="yellow"/>
        </w:rPr>
      </w:pPr>
      <w:r>
        <w:rPr>
          <w:rFonts w:hint="eastAsia" w:ascii="宋体" w:hAnsi="宋体" w:cs="宋体"/>
          <w:b w:val="0"/>
          <w:bCs w:val="0"/>
          <w:color w:val="000000"/>
          <w:szCs w:val="21"/>
        </w:rPr>
        <w:t xml:space="preserve">如因甲方上级部门要求、相关政策要求或特殊原因，甲方要求调整服务期限的，乙方须无条件服从，且甲方不承担相应赔偿责任</w:t>
      </w:r>
      <w:r>
        <w:rPr>
          <w:rFonts w:hint="eastAsia" w:ascii="宋体" w:hAnsi="宋体" w:cs="宋体"/>
          <w:b w:val="0"/>
          <w:bCs w:val="0"/>
          <w:szCs w:val="21"/>
        </w:rPr>
        <w:t xml:space="preserve">，费用按实结算。</w:t>
      </w:r>
      <w:r/>
    </w:p>
    <w:p>
      <w:pPr>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三、合同金额及付款            </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1、合同金额：</w:t>
      </w:r>
      <w:r>
        <w:rPr>
          <w:rFonts w:hint="eastAsia" w:ascii="宋体" w:hAnsi="宋体" w:cs="宋体"/>
          <w:b/>
          <w:bCs/>
          <w:szCs w:val="21"/>
          <w:lang w:val="en-US" w:eastAsia="zh-CN"/>
        </w:rPr>
        <w:t xml:space="preserve">   </w:t>
      </w:r>
      <w:r>
        <w:rPr>
          <w:rFonts w:hint="eastAsia" w:ascii="宋体" w:hAnsi="宋体" w:cs="宋体"/>
          <w:szCs w:val="21"/>
        </w:rPr>
        <w:t xml:space="preserve">，包括服务所需的人员费用、设备费用、工具耗材费用、管理费用、利润、税金及政策包含的所有风险、责任等各项应有费用。合同金额在合同实施期间不因市场变化因素而变动，除非合同另有约定或经双方协商同意，乙方不得再要求追加任何费用。</w:t>
      </w:r>
      <w:r/>
    </w:p>
    <w:p>
      <w:pPr>
        <w:ind w:firstLine="422"/>
        <w:keepLines w:val="0"/>
        <w:keepNext w:val="0"/>
        <w:pageBreakBefore w:val="0"/>
        <w:spacing w:line="360" w:lineRule="auto"/>
        <w:widowControl w:val="off"/>
        <w:rPr>
          <w:rFonts w:hint="eastAsia" w:ascii="宋体" w:hAnsi="宋体" w:cs="宋体"/>
          <w:b/>
          <w:bCs/>
          <w:color w:val="0000ff"/>
          <w:szCs w:val="21"/>
          <w:highlight w:val="none"/>
        </w:rPr>
      </w:pPr>
      <w:r>
        <w:rPr>
          <w:rFonts w:hint="eastAsia" w:ascii="宋体" w:hAnsi="宋体" w:cs="宋体"/>
          <w:b/>
          <w:bCs/>
          <w:color w:val="0000ff"/>
          <w:szCs w:val="21"/>
          <w:highlight w:val="none"/>
        </w:rPr>
        <w:t xml:space="preserve">2、付款方式：2026年3月支付合同金额的25%，2026年7月支付合同金额的25%，2026年10月支付合同金额的20%，剩余30%（含5%考核费用）待服务期满，在乙方保证设施完好、功能正常并经甲方及相关部门审核确认，履行交接手续并结合考核结果后支付。支付期限为合同结束后的60天内。（交接时按甲方要求提供标的物、资产资金等原始资料以及日常管理台账） </w:t>
      </w:r>
      <w:r/>
    </w:p>
    <w:p>
      <w:pPr>
        <w:ind w:firstLine="422"/>
        <w:keepLines w:val="0"/>
        <w:keepNext w:val="0"/>
        <w:pageBreakBefore w:val="0"/>
        <w:spacing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3、乙方开具发票后，甲方以转账方式支付。</w:t>
      </w:r>
      <w:r/>
    </w:p>
    <w:p>
      <w:pPr>
        <w:ind w:firstLine="420"/>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四、保密条款</w:t>
      </w:r>
      <w:r/>
    </w:p>
    <w:p>
      <w:pPr>
        <w:ind w:firstLine="420"/>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甲乙双方同时承诺：对于在安装、调试、培训、使用、维护公共自行车监管考核平台系统的过程中接触和了解的有关对方技术、经营等方面的资料，双方均有严格保密的义务。未经书面许可，任何一方不得泄露对方有关资料，否则将承担相关的经济赔偿责任和法律责任。</w:t>
      </w:r>
      <w:r/>
    </w:p>
    <w:p>
      <w:pPr>
        <w:ind w:firstLine="420"/>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五、第三方知识产权</w:t>
      </w:r>
      <w:r/>
    </w:p>
    <w:p>
      <w:pPr>
        <w:ind w:firstLine="420"/>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乙方承诺，其在受托开发本合同项目中，不会侵犯第三方的知识产权，同时，在交付本合同成果中也不会涉及或非法使用第三方的知识产权。任何因甲方或用户在使用本项目的成果而引起对第三方知识产权的侵权诉讼的，乙方承诺自行负责处理所提供的产品的涉及任何知识产权权利纠纷及因产品质量问题导致的侵犯第三方的人身财产等相关权利所引起的纠纷，乙方承诺自行承担由于上述原因引起的索赔及法律责任。</w:t>
      </w:r>
      <w:r/>
    </w:p>
    <w:p>
      <w:pPr>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六、甲方权利与义务</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1、甲方有权要求并监督乙方提供合格服务。</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2、因乙方过错或违反合同约定事项给甲方造成名誉损失和经济损失的，甲方有权要求乙方赔偿。</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3、甲方应按时支付服务费用。</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4、甲方应教育所属人员尊重乙方工作人员的劳动成果，积极配合乙方工作人员履行合同。</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5、</w:t>
      </w:r>
      <w:r>
        <w:rPr>
          <w:rFonts w:hint="eastAsia" w:ascii="宋体" w:hAnsi="宋体"/>
          <w:szCs w:val="21"/>
        </w:rPr>
        <w:t xml:space="preserve">定期组织对乙方服务质量的考核、收集意见和建议，根据考核结果对乙方进行扣款，并将结果通报乙方。</w:t>
      </w:r>
      <w:r/>
    </w:p>
    <w:p>
      <w:pPr>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七、乙方的权利与义务</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1、乙方自觉接受甲方管理，遵守甲方的一切规章制度，文明上岗，提供符合甲方要求的服务。</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2、乙方应指定项目负责人对本项目进行统一管理，与甲方进行沟通，并根据甲方要求随时调整服务标准。</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3、如甲方认为乙方工作人员不能胜任本职工作的，乙方应及时调整。乙方如需调离已在履行职责的工作人员，须征得甲方同意。</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4、乙方应定期对员工进行岗位职责和安全教育，加强岗位责任考核。因乙方管理不当、违规操作发生安全事故对甲方造成损失的，乙方需承担相应的赔偿责任。</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5、乙方工作人员在岗履行职责期间（包括上下班途中）发生的一切安全事故，均由乙方负责处理并承担经济和道义上的责任，甲方不承担任何责任。</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6、乙方在服务过程中应当做到安全文明工作，为工作人员提供必要的劳动保护条件，为工作人员办理人身安全保险，合同期内若发生安全事故均由乙方负责承担。</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7、乙方必须依法用工，按照国家有关规定聘用人员并支付薪资报酬、缴纳社保等。</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8、项目服务期间乙方工作人员必须遵守疫情防控规定，采取必要防控措施。</w:t>
      </w:r>
      <w:r/>
    </w:p>
    <w:p>
      <w:pPr>
        <w:ind w:firstLine="39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9、乙方应具备处理各类突发事件的能力，建立各类应急预案，产生的费用由乙方承担。</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八、违约责任</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乙方</w:t>
      </w:r>
      <w:r>
        <w:rPr>
          <w:rFonts w:ascii="宋体" w:hAnsi="宋体"/>
          <w:szCs w:val="21"/>
        </w:rPr>
        <w:t xml:space="preserve">不按本合同规定履行合同义务的，</w:t>
      </w:r>
      <w:r>
        <w:rPr>
          <w:rFonts w:hint="eastAsia" w:ascii="宋体" w:hAnsi="宋体"/>
          <w:szCs w:val="21"/>
        </w:rPr>
        <w:t xml:space="preserve">甲方</w:t>
      </w:r>
      <w:r>
        <w:rPr>
          <w:rFonts w:ascii="宋体" w:hAnsi="宋体"/>
          <w:szCs w:val="21"/>
        </w:rPr>
        <w:t xml:space="preserve">有权解除合同并追究对方的违约责任。</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2</w:t>
      </w:r>
      <w:r>
        <w:rPr>
          <w:rFonts w:ascii="宋体" w:hAnsi="宋体"/>
          <w:szCs w:val="21"/>
        </w:rPr>
        <w:t xml:space="preserve">、对于不可抗力因素造成合同不能履行的，甲乙双方协商并根据客观情况减轻或免于承担违约责任。</w:t>
      </w:r>
      <w:r/>
    </w:p>
    <w:p>
      <w:pPr>
        <w:ind w:firstLine="420"/>
        <w:keepLines w:val="0"/>
        <w:keepNext w:val="0"/>
        <w:pageBreakBefore w:val="0"/>
        <w:spacing w:line="360" w:lineRule="auto"/>
        <w:widowControl w:val="off"/>
        <w:tabs>
          <w:tab w:val="center" w:pos="5131" w:leader="none"/>
        </w:tabs>
        <w:rPr>
          <w:rFonts w:hint="eastAsia" w:ascii="宋体" w:hAnsi="宋体" w:cs="宋体"/>
          <w:color w:val="000000"/>
          <w:szCs w:val="21"/>
        </w:rPr>
      </w:pPr>
      <w:r>
        <w:rPr>
          <w:rFonts w:hint="eastAsia" w:ascii="宋体" w:hAnsi="宋体" w:cs="宋体"/>
          <w:color w:val="000000"/>
          <w:szCs w:val="21"/>
        </w:rPr>
        <w:t xml:space="preserve">3、除上述特别约定外，乙方发生其它违约行为时，应于甲方催告后一周内及时纠正，逾期不纠正的，每天按本合同价款的千分之二承担违约责任。甲方催告后一个月内乙方未纠正的，视为乙方根本违约，甲方可单方解除合同，甲方单方解除合同的，不免除乙方需承担的违约责任和赔偿责任。</w:t>
      </w:r>
      <w:r/>
    </w:p>
    <w:p>
      <w:pPr>
        <w:ind w:firstLine="420"/>
        <w:keepLines w:val="0"/>
        <w:keepNext w:val="0"/>
        <w:pageBreakBefore w:val="0"/>
        <w:spacing w:line="360" w:lineRule="auto"/>
        <w:widowControl w:val="off"/>
        <w:tabs>
          <w:tab w:val="center" w:pos="5131" w:leader="none"/>
        </w:tabs>
        <w:rPr>
          <w:rFonts w:hint="eastAsia" w:ascii="宋体" w:hAnsi="宋体" w:cs="宋体"/>
          <w:color w:val="000000"/>
          <w:szCs w:val="21"/>
        </w:rPr>
      </w:pPr>
      <w:r>
        <w:rPr>
          <w:rFonts w:hint="eastAsia" w:ascii="宋体" w:hAnsi="宋体" w:cs="宋体"/>
          <w:color w:val="000000"/>
          <w:szCs w:val="21"/>
        </w:rPr>
        <w:t xml:space="preserve">4、因乙方违约，导致甲方对其它单位部门承担违约责任，对于甲方承担的违约责任甲方有权向乙方追偿。</w:t>
      </w:r>
      <w:r/>
    </w:p>
    <w:p>
      <w:pPr>
        <w:ind w:firstLine="420"/>
        <w:keepLines w:val="0"/>
        <w:keepNext w:val="0"/>
        <w:pageBreakBefore w:val="0"/>
        <w:spacing w:line="360" w:lineRule="auto"/>
        <w:widowControl w:val="off"/>
        <w:tabs>
          <w:tab w:val="center" w:pos="5131" w:leader="none"/>
        </w:tabs>
        <w:rPr>
          <w:rFonts w:hint="eastAsia" w:ascii="宋体" w:hAnsi="宋体" w:cs="宋体"/>
          <w:color w:val="000000"/>
          <w:szCs w:val="21"/>
        </w:rPr>
      </w:pPr>
      <w:r>
        <w:rPr>
          <w:rFonts w:hint="eastAsia" w:ascii="宋体" w:hAnsi="宋体" w:cs="宋体"/>
          <w:color w:val="000000"/>
          <w:szCs w:val="21"/>
        </w:rPr>
        <w:t xml:space="preserve">5、合同一方不履行合同义务或违反履行合同义务约定的，应当承担继续履行、采取补救措施或者赔偿损失等责任。</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6</w:t>
      </w:r>
      <w:r>
        <w:rPr>
          <w:rFonts w:ascii="宋体" w:hAnsi="宋体"/>
          <w:szCs w:val="21"/>
        </w:rPr>
        <w:t xml:space="preserve">、合同生效后，</w:t>
      </w:r>
      <w:r>
        <w:rPr>
          <w:rFonts w:hint="eastAsia" w:ascii="宋体" w:hAnsi="宋体"/>
          <w:szCs w:val="21"/>
        </w:rPr>
        <w:t xml:space="preserve">因乙方违约解除</w:t>
      </w:r>
      <w:r>
        <w:rPr>
          <w:rFonts w:ascii="宋体" w:hAnsi="宋体"/>
          <w:szCs w:val="21"/>
        </w:rPr>
        <w:t xml:space="preserve">合同</w:t>
      </w:r>
      <w:r>
        <w:rPr>
          <w:rFonts w:hint="eastAsia" w:ascii="宋体" w:hAnsi="宋体"/>
          <w:szCs w:val="21"/>
        </w:rPr>
        <w:t xml:space="preserve">的</w:t>
      </w:r>
      <w:r>
        <w:rPr>
          <w:rFonts w:ascii="宋体" w:hAnsi="宋体"/>
          <w:szCs w:val="21"/>
        </w:rPr>
        <w:t xml:space="preserve">，</w:t>
      </w:r>
      <w:r>
        <w:rPr>
          <w:rFonts w:hint="eastAsia" w:ascii="宋体" w:hAnsi="宋体"/>
          <w:szCs w:val="21"/>
        </w:rPr>
        <w:t xml:space="preserve">甲方扣除当年度至服务期满所有合同款，同时乙方</w:t>
      </w:r>
      <w:r>
        <w:rPr>
          <w:rFonts w:ascii="宋体" w:hAnsi="宋体"/>
          <w:szCs w:val="21"/>
        </w:rPr>
        <w:t xml:space="preserve">向</w:t>
      </w:r>
      <w:r>
        <w:rPr>
          <w:rFonts w:hint="eastAsia" w:ascii="宋体" w:hAnsi="宋体"/>
          <w:szCs w:val="21"/>
        </w:rPr>
        <w:t xml:space="preserve">甲方</w:t>
      </w:r>
      <w:r>
        <w:rPr>
          <w:rFonts w:ascii="宋体" w:hAnsi="宋体"/>
          <w:szCs w:val="21"/>
        </w:rPr>
        <w:t xml:space="preserve">支付违约金</w:t>
      </w:r>
      <w:r>
        <w:rPr>
          <w:rFonts w:hint="eastAsia" w:ascii="宋体" w:hAnsi="宋体"/>
          <w:szCs w:val="21"/>
        </w:rPr>
        <w:t xml:space="preserve">（第一服务年度为</w:t>
      </w:r>
      <w:r>
        <w:rPr>
          <w:rFonts w:ascii="宋体" w:hAnsi="宋体"/>
          <w:szCs w:val="21"/>
        </w:rPr>
        <w:t xml:space="preserve">合同总价的</w:t>
      </w:r>
      <w:r>
        <w:rPr>
          <w:rFonts w:hint="eastAsia" w:ascii="宋体" w:hAnsi="宋体"/>
          <w:szCs w:val="21"/>
        </w:rPr>
        <w:t xml:space="preserve">10</w:t>
      </w:r>
      <w:r>
        <w:rPr>
          <w:rFonts w:ascii="宋体" w:hAnsi="宋体"/>
          <w:szCs w:val="21"/>
        </w:rPr>
        <w:t xml:space="preserve">％</w:t>
      </w:r>
      <w:r>
        <w:rPr>
          <w:rFonts w:hint="eastAsia" w:ascii="宋体" w:hAnsi="宋体"/>
          <w:szCs w:val="21"/>
        </w:rPr>
        <w:t xml:space="preserve">,第二服务年度为</w:t>
      </w:r>
      <w:r>
        <w:rPr>
          <w:rFonts w:ascii="宋体" w:hAnsi="宋体"/>
          <w:szCs w:val="21"/>
        </w:rPr>
        <w:t xml:space="preserve">合同总价的</w:t>
      </w:r>
      <w:r>
        <w:rPr>
          <w:rFonts w:hint="eastAsia" w:ascii="宋体" w:hAnsi="宋体"/>
          <w:szCs w:val="21"/>
        </w:rPr>
        <w:t xml:space="preserve">15</w:t>
      </w:r>
      <w:r>
        <w:rPr>
          <w:rFonts w:ascii="宋体" w:hAnsi="宋体"/>
          <w:szCs w:val="21"/>
        </w:rPr>
        <w:t xml:space="preserve">％</w:t>
      </w:r>
      <w:r>
        <w:rPr>
          <w:rFonts w:hint="eastAsia" w:ascii="宋体" w:hAnsi="宋体"/>
          <w:szCs w:val="21"/>
        </w:rPr>
        <w:t xml:space="preserve">, 第三服务年度为</w:t>
      </w:r>
      <w:r>
        <w:rPr>
          <w:rFonts w:ascii="宋体" w:hAnsi="宋体"/>
          <w:szCs w:val="21"/>
        </w:rPr>
        <w:t xml:space="preserve">合同总价的</w:t>
      </w:r>
      <w:r>
        <w:rPr>
          <w:rFonts w:hint="eastAsia" w:ascii="宋体" w:hAnsi="宋体"/>
          <w:szCs w:val="21"/>
        </w:rPr>
        <w:t xml:space="preserve">20</w:t>
      </w:r>
      <w:r>
        <w:rPr>
          <w:rFonts w:ascii="宋体" w:hAnsi="宋体"/>
          <w:szCs w:val="21"/>
        </w:rPr>
        <w:t xml:space="preserve">％</w:t>
      </w:r>
      <w:r>
        <w:rPr>
          <w:rFonts w:hint="eastAsia" w:ascii="宋体" w:hAnsi="宋体"/>
          <w:szCs w:val="21"/>
        </w:rPr>
        <w:t xml:space="preserve">），如损失高于违约金的，应补足损失</w:t>
      </w:r>
      <w:r>
        <w:rPr>
          <w:rFonts w:ascii="宋体" w:hAnsi="宋体"/>
          <w:szCs w:val="21"/>
        </w:rPr>
        <w:t xml:space="preserve">。</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7、为保障自行车设备正常运行，维修及时，特要求乙方常备库存自行车零配件，其中易损易坏件重点库存，若经检查库存不到位的，按合同总价每天千分之一的比例向甲方支付违约金，并赔偿由此造成甲方的损失。</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8、公共自行车系统达不到考核要求，在收到甲方的通知后在30天或甲方要求的天数内仍未履行义务或采取补救措施的，甲方有权终止乙方运营工作，另选择专业运营公司提供服务，费用按实结算。</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9、公共自行车系统维修达不到考核要求，在收到甲方的通知后在30天或甲方要求的天数内仍未履行义务或采取补救措施的，甲方有权终止乙方维修工作，另选择专业维修公司提供维修服务，维修费用按实结算。</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10、公共自行车系统仓储达不到招标要求，在收到甲方的通知后在30天或甲方要求的天数内仍未履行义务或采取补救措施的，乙方按合同总价每天万分之一的比例向甲方支付违约金，并赔偿由此造成甲方的损失。甲方在逾期15天后除有权要求乙方承担上述违约金、赔偿甲方损失外，还有权终止合同。</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11、公共自行车系统软件提供数据接口以对接第三方绩效考核等软件，且提供数据要准备、真实、可靠，若经发现提供虚假数据信息，在收到甲方的通知后7天或甲方要求的天数内仍未履行义务或采取补救措施的，乙方按合同总价每天万分之一的比例向甲方支付违约金，并赔偿由此造成甲方的损失。甲方在逾期15天后除有权要求乙方承担上述违约金、赔偿甲方损失外，还有权终止合同。</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12、本次招标内容中CAN通讯技术，首先要求达到行业标准，若市面上主流厂家同类技术已经更新换代升级，并广泛应用，甲方有权要求乙方及时作出技术更新，达到行业主流技术，有利于提升整个自行车租赁服务项目的先进性及效率，以适应当地现代代发展进程。</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13、所有自行车在服务期内投入运营前必须购置保险，以提供保单及详细自行车保险明细为准，若不及时购置保险，涉及到车辆及人身安全事故由乙方全权负责，每延误一天购置保险，按合同总价每天万分之一的比例向甲方支付违约金，此金额在当年底履约费中扣除。甲方在逾期15天后除有权要求乙方承担上述违约金、赔偿甲方损失外，还有权终止合同。</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九、不可抗力</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1、因不可抗力无法履行合同的，根据不可抗力的影响，部分或者全部免除责任，双方通过友好协商方式解决。但合同一方延迟履行后发生不可抗力的，不能免除责任。</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十、合同的解除和转让</w:t>
      </w:r>
      <w:r/>
    </w:p>
    <w:p>
      <w:pPr>
        <w:ind w:firstLine="420"/>
        <w:keepLines w:val="0"/>
        <w:keepNext w:val="0"/>
        <w:pageBreakBefore w:val="0"/>
        <w:spacing w:line="360" w:lineRule="auto"/>
        <w:widowControl w:val="off"/>
        <w:tabs>
          <w:tab w:val="center" w:pos="5131" w:leader="none"/>
        </w:tabs>
        <w:rPr>
          <w:rFonts w:ascii="宋体" w:hAnsi="宋体" w:cs="宋体"/>
          <w:szCs w:val="21"/>
        </w:rPr>
      </w:pPr>
      <w:r>
        <w:rPr>
          <w:rFonts w:hint="eastAsia" w:ascii="宋体" w:hAnsi="宋体" w:cs="宋体"/>
          <w:szCs w:val="21"/>
        </w:rPr>
        <w:t xml:space="preserve">（一）合同的解除</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1、甲方和乙方协商一致，可以解除合同。</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2、乙方严重违反本合同约定（甲方要求整改但乙方长期拒不整改），不按本合同履行义务的，甲方决定解除合同。</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3、因合同一方违约导致合同不能履行，另一方有权解除合同。</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4、未经甲方同意，乙方擅自分包或转让合同。</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5、需提前解除合同的，解除合同的一方应及提前不少于一月通知对方，合同自书面通知送达对方时解除，乙方应在二十日内办理交接，在办理交接期间，乙方仍应提供服务。</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（二）合同的转让</w:t>
      </w:r>
      <w:r/>
    </w:p>
    <w:p>
      <w:pPr>
        <w:ind w:firstLine="420"/>
        <w:keepLines w:val="0"/>
        <w:keepNext w:val="0"/>
        <w:pageBreakBefore w:val="0"/>
        <w:spacing w:line="360" w:lineRule="auto"/>
        <w:widowControl w:val="off"/>
        <w:tabs>
          <w:tab w:val="center" w:pos="5131" w:leader="none"/>
        </w:tabs>
        <w:rPr>
          <w:rFonts w:hint="eastAsia" w:ascii="宋体" w:hAnsi="宋体" w:cs="宋体"/>
          <w:szCs w:val="21"/>
        </w:rPr>
      </w:pPr>
      <w:r>
        <w:rPr>
          <w:rFonts w:hint="eastAsia" w:ascii="宋体" w:hAnsi="宋体" w:cs="宋体"/>
          <w:szCs w:val="21"/>
        </w:rPr>
        <w:t xml:space="preserve">合同的全部或部分不得分包或转让。</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zh-CN"/>
        </w:rPr>
        <w:t xml:space="preserve">十一、</w:t>
      </w:r>
      <w:r>
        <w:rPr>
          <w:rFonts w:hint="eastAsia" w:ascii="宋体" w:hAnsi="宋体" w:cs="宋体"/>
          <w:szCs w:val="21"/>
        </w:rPr>
        <w:t xml:space="preserve">合同生效及其他</w:t>
      </w:r>
      <w:r/>
    </w:p>
    <w:p>
      <w:pPr>
        <w:ind w:firstLine="425"/>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1、合同经甲乙双方签字盖章后生效。</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2、本合同一式四份，甲方两份、乙方和招标代理机构各执一份。</w:t>
      </w:r>
      <w:r/>
    </w:p>
    <w:p>
      <w:pPr>
        <w:ind w:firstLine="425"/>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w:t>
      </w:r>
      <w:r>
        <w:rPr>
          <w:rFonts w:hint="eastAsia" w:ascii="宋体" w:hAnsi="宋体" w:cs="宋体"/>
          <w:color w:val="000000"/>
          <w:szCs w:val="21"/>
          <w:lang w:val="zh-CN"/>
        </w:rPr>
        <w:t xml:space="preserve">录，作为本合同的附件，与本合同具</w:t>
      </w:r>
      <w:r>
        <w:rPr>
          <w:rFonts w:hint="eastAsia" w:ascii="宋体" w:hAnsi="宋体" w:cs="宋体"/>
          <w:szCs w:val="21"/>
          <w:lang w:val="zh-CN"/>
        </w:rPr>
        <w:t xml:space="preserve">有同等效力。协商不成，任何一方可以向甲方所在地人民法院提起诉讼。</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4、招标文件、中标的投标文件、中标通知书、中标单位在招标过程中的澄清和承诺等、合同附件、补充协议（如有）均为本合同不可缺少的组成部分。</w:t>
      </w:r>
      <w:r/>
    </w:p>
    <w:p>
      <w:pPr>
        <w:ind w:firstLine="425"/>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w:t>
      </w:r>
      <w:r>
        <w:rPr>
          <w:rFonts w:hint="eastAsia" w:ascii="宋体" w:hAnsi="宋体" w:cs="宋体"/>
          <w:color w:val="000000"/>
          <w:szCs w:val="21"/>
          <w:lang w:val="zh-CN"/>
        </w:rPr>
        <w:t xml:space="preserve">人民共和国民法典》等相关法律法规等规定之解释。</w:t>
      </w:r>
      <w:r/>
    </w:p>
    <w:p>
      <w:pPr>
        <w:ind w:firstLine="424"/>
        <w:spacing w:line="360" w:lineRule="auto"/>
        <w:rPr>
          <w:rFonts w:ascii="宋体"/>
          <w:szCs w:val="21"/>
        </w:rPr>
      </w:pPr>
      <w:r>
        <w:rPr>
          <w:rFonts w:ascii="宋体"/>
          <w:szCs w:val="21"/>
        </w:rPr>
      </w:r>
      <w:r/>
    </w:p>
    <w:p>
      <w:pPr>
        <w:ind w:firstLine="424"/>
        <w:spacing w:line="360" w:lineRule="auto"/>
        <w:rPr>
          <w:rFonts w:ascii="宋体"/>
          <w:szCs w:val="21"/>
        </w:rPr>
      </w:pPr>
      <w:r>
        <w:rPr>
          <w:rFonts w:hint="eastAsia" w:ascii="宋体"/>
          <w:szCs w:val="21"/>
        </w:rPr>
        <w:t xml:space="preserve">甲方：                                   乙方：                    </w:t>
      </w:r>
      <w:r/>
    </w:p>
    <w:p>
      <w:pPr>
        <w:ind w:firstLine="424"/>
        <w:spacing w:line="360" w:lineRule="auto"/>
        <w:rPr>
          <w:rFonts w:ascii="宋体"/>
          <w:szCs w:val="21"/>
        </w:rPr>
      </w:pPr>
      <w:r>
        <w:rPr>
          <w:rFonts w:hint="eastAsia" w:ascii="宋体"/>
          <w:szCs w:val="21"/>
        </w:rPr>
        <w:t xml:space="preserve">法定代表人（授权代表）：                 法定代表人（授权代表）：   </w:t>
      </w:r>
      <w:r/>
    </w:p>
    <w:p>
      <w:pPr>
        <w:ind w:firstLine="424"/>
        <w:spacing w:line="360" w:lineRule="auto"/>
        <w:rPr>
          <w:rFonts w:ascii="宋体"/>
          <w:szCs w:val="21"/>
        </w:rPr>
      </w:pPr>
      <w:r>
        <w:rPr>
          <w:rFonts w:hint="eastAsia" w:ascii="宋体"/>
          <w:szCs w:val="21"/>
        </w:rPr>
        <w:t xml:space="preserve">签约日期：                               签约日期：               </w:t>
      </w:r>
      <w:r/>
    </w:p>
    <w:p>
      <w:pPr>
        <w:jc w:val="left"/>
      </w:pPr>
      <w:r/>
      <w:r/>
    </w:p>
    <w:p>
      <w:pPr>
        <w:jc w:val="left"/>
      </w:pPr>
      <w:r/>
      <w:r/>
    </w:p>
    <w:p>
      <w:pPr>
        <w:rPr>
          <w:rFonts w:hint="eastAsia"/>
        </w:rPr>
      </w:pPr>
      <w:r>
        <w:rPr>
          <w:rFonts w:hint="eastAsia"/>
        </w:rPr>
        <w:br w:type="page" w:clear="all"/>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ind w:left="480" w:right="0"/>
        <w:jc w:val="center"/>
        <w:keepLines w:val="0"/>
        <w:keepNext w:val="0"/>
        <w:spacing w:before="0" w:beforeAutospacing="0" w:after="0" w:afterAutospacing="0" w:line="360" w:lineRule="auto"/>
        <w:widowControl w:val="off"/>
        <w:rPr>
          <w:rFonts w:hint="eastAsia" w:ascii="宋体" w:hAnsi="宋体" w:eastAsia="宋体" w:cs="Times New Roman"/>
          <w:b/>
          <w:bCs/>
          <w:sz w:val="21"/>
          <w:szCs w:val="21"/>
        </w:rPr>
        <w:suppressLineNumbers w:val="0"/>
      </w:pPr>
      <w:r>
        <w:rPr>
          <w:rFonts w:hint="eastAsia" w:ascii="宋体" w:hAnsi="宋体" w:eastAsia="宋体" w:cs="宋体"/>
          <w:b/>
          <w:bCs/>
          <w:sz w:val="21"/>
          <w:szCs w:val="21"/>
          <w:lang w:val="en-US" w:eastAsia="zh-CN" w:bidi="ar"/>
        </w:rPr>
        <w:t xml:space="preserve">昆山高新区公共自行车服务运营管理考评细则</w:t>
      </w:r>
      <w:r/>
    </w:p>
    <w:p>
      <w:pPr>
        <w:ind w:firstLine="63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我市公共自行车服务项目采取“设备租赁、服务外包、市场运作、政府监管”的模式。为全面、客观、准确地评价系统的运转管理水平和服务质量，推动运营企业不断改进和提高管理服务水平，特制定如下考评细则：（考核细则根据每年实际运营情况作适应调整）</w:t>
      </w:r>
      <w:r/>
    </w:p>
    <w:p>
      <w:pPr>
        <w:ind w:left="630"/>
        <w:keepLines w:val="0"/>
        <w:keepNext w:val="0"/>
        <w:pageBreakBefore w:val="0"/>
        <w:spacing w:line="360" w:lineRule="auto"/>
        <w:widowControl w:val="off"/>
        <w:tabs>
          <w:tab w:val="left" w:pos="1350" w:leader="none"/>
        </w:tabs>
        <w:rPr>
          <w:rFonts w:hint="eastAsia" w:ascii="宋体" w:hAnsi="宋体"/>
          <w:b/>
          <w:szCs w:val="21"/>
        </w:rPr>
      </w:pPr>
      <w:r>
        <w:rPr>
          <w:rFonts w:hint="eastAsia" w:ascii="宋体" w:hAnsi="宋体"/>
          <w:b/>
          <w:szCs w:val="21"/>
        </w:rPr>
        <w:t xml:space="preserve">一、考评工作的组织领导：</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由高新区社会事业局牵头相关职能部门组成考评小组，对公共自行车服务项目的运营管理实施综合考评。</w:t>
      </w:r>
      <w:r/>
    </w:p>
    <w:p>
      <w:pPr>
        <w:ind w:left="630"/>
        <w:keepLines w:val="0"/>
        <w:keepNext w:val="0"/>
        <w:pageBreakBefore w:val="0"/>
        <w:spacing w:line="360" w:lineRule="auto"/>
        <w:widowControl w:val="off"/>
        <w:tabs>
          <w:tab w:val="left" w:pos="1350" w:leader="none"/>
        </w:tabs>
        <w:rPr>
          <w:rFonts w:hint="eastAsia" w:ascii="宋体" w:hAnsi="宋体"/>
          <w:b/>
          <w:szCs w:val="21"/>
        </w:rPr>
      </w:pPr>
      <w:r>
        <w:rPr>
          <w:rFonts w:hint="eastAsia" w:ascii="宋体" w:hAnsi="宋体"/>
          <w:b/>
          <w:szCs w:val="21"/>
        </w:rPr>
        <w:t xml:space="preserve">二、考评目的</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监督、检查运营企业抓好公共自行车服务项目的日常运营管理各项工作，不断改进和提高管理服务水平，充分发挥系统效能，为我市市民提供优质、高效的公共服务。</w:t>
      </w:r>
      <w:r/>
    </w:p>
    <w:p>
      <w:pPr>
        <w:ind w:left="630"/>
        <w:keepLines w:val="0"/>
        <w:keepNext w:val="0"/>
        <w:pageBreakBefore w:val="0"/>
        <w:spacing w:line="360" w:lineRule="auto"/>
        <w:widowControl w:val="off"/>
        <w:tabs>
          <w:tab w:val="left" w:pos="1350" w:leader="none"/>
        </w:tabs>
        <w:rPr>
          <w:rFonts w:hint="eastAsia" w:ascii="宋体" w:hAnsi="宋体"/>
          <w:b/>
          <w:szCs w:val="21"/>
        </w:rPr>
      </w:pPr>
      <w:r>
        <w:rPr>
          <w:rFonts w:hint="eastAsia" w:ascii="宋体" w:hAnsi="宋体"/>
          <w:b/>
          <w:szCs w:val="21"/>
        </w:rPr>
        <w:t xml:space="preserve">三、考评方法及内容：</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考评采取每月固定抽查与日常监管检查相结合的方式，对公共自行车服务体系的站点管理、锁车柱管理、设施维护、车辆状况、运转调度、站点卫生、客户服务、用户反馈等方面进行监督考核，汇总评分，满分为100分。年度得分为每月得分平均值，年度得分在90分以上为合格，考核部分全额返还；低于90分，以考核部分乘以年度考核得分率即为该年度服务费考核返还金额；具体考核项目及标准如下：</w:t>
      </w:r>
      <w:r/>
    </w:p>
    <w:p>
      <w:pPr>
        <w:ind w:left="600"/>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1、站点完好率（6分）</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除站点停电、迁移、人为恶意破坏等客观因素外，区域内站点完好率大于98%。如出现站点故障，不能正常使用，从后台系统显示或监管部门发现问题向运营公司通报开始计时，给予24小时的整改时间。（如站点因非运营公司责任的客观因素而产生的大面积瘫痪问题，恢复期限则协商解决。）运营公司如未按期限排除故障，每个站点每超时一天（24小时）扣1分，直至恢复正常使用。</w:t>
      </w:r>
      <w:r/>
    </w:p>
    <w:p>
      <w:pPr>
        <w:ind w:left="600"/>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2、锁车柱完好率（20分）</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检查锁车柱完好率大于95%。对故障锁车柱，从后台系统显示或监管部门发现问题向运营公司通报开始计时，给予2天（48小时）的整改时间，如超时修复，每超时1天（24小时）每个锁车柱扣1分，直至修复。</w:t>
      </w:r>
      <w:r/>
    </w:p>
    <w:p>
      <w:pPr>
        <w:ind w:firstLine="422"/>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3、站点设施（站点底板、锁车柱、站点控制器等）维护（8分）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站点设施保持完好，标识清晰，无严重锈蚀、破损现象，如出现上述及类似问题，应于5个工作日内解决，超期处理的，视情况每处每天扣1-2分。</w:t>
      </w:r>
      <w:r/>
    </w:p>
    <w:p>
      <w:pPr>
        <w:ind w:firstLine="422"/>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4、自行车维护（8分）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自行车应定期和不定期进行检修，车况完好率大于95%。特别是刹车失灵、前后轴紧固螺丝松动、铃铛失灵等故障车辆不得投放使用。抽查30辆，故障超过5辆，视故障性质和程度每辆扣1-2分。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自行车车身出现严重锈蚀等有损外观形象等问题，原则上一周（7天）内修复或调换；批量出现类似问题的，修复周期由甲乙双方商定。如超期修复，每辆车每天扣1分，直至修复使用。修复期如超过一周，乙方应调度同数量自行车弥补缺额。</w:t>
      </w:r>
      <w:r/>
    </w:p>
    <w:p>
      <w:pPr>
        <w:ind w:firstLine="422"/>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5、运转调度管理（30分）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运营公司应基于后台自动监控系统平台，结合本市公共自行车使用规律和特点，实施科学有效的调度运转管理；要根据每个站点的用车规律，考虑高峰及非高峰时段，做到重点保障兼顾一般，合理调度站点车辆配额，特别是要采取有效措施，保证车辆的归还。</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（1）自行车站点投放率应大于95%，每低于1个百分点扣1分；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（2）各站点车辆数以80%-20%为上下限控制标准，抽查10个黄灯站点，1小时以后如黄灯未消除，每个站点扣5分；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（3）在保障重点的前提下，一般站点出现全部满车或全部空车情况超过不能高于3%，即5个站点，若超过则每个站点扣1分；重点站点出现此情况每个站点扣2分；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（4）早晚高峰时段1小时后，站点空位率50%及以上时，有自行车放置于锁车柱以外的，每个站点扣1分；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（5）确保用户能及时还车，在与用户协商后，若用户坚持要在本站点还车的，白天应在用户致电后20分钟内到达现场，晚上在30分钟内到达现场。若发生超时则每起扣1分。</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（6）因调度混乱致多站点无车可借、无柱可还或被投诉的扣2分。</w:t>
      </w:r>
      <w:r/>
    </w:p>
    <w:p>
      <w:pPr>
        <w:ind w:firstLine="600"/>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6、</w:t>
      </w:r>
      <w:r>
        <w:rPr>
          <w:rFonts w:hint="eastAsia" w:ascii="宋体" w:hAnsi="宋体"/>
          <w:b/>
          <w:bCs/>
          <w:szCs w:val="21"/>
        </w:rPr>
        <w:t xml:space="preserve">站</w:t>
      </w:r>
      <w:r>
        <w:rPr>
          <w:rFonts w:hint="eastAsia" w:ascii="宋体" w:hAnsi="宋体"/>
          <w:b/>
          <w:szCs w:val="21"/>
        </w:rPr>
        <w:t xml:space="preserve">点卫生管理（8分）</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站点设施，包括底板、锁车柱、站点控制器、自行车等设施保持清洁，（下雨、下雪等恶劣天气除外），无积泥、无污垢、无严重浮灰，站点区域内环境卫生保持干净整洁，如抽查发现不达标，每处酌情扣1-2分。</w:t>
      </w:r>
      <w:r/>
    </w:p>
    <w:p>
      <w:pPr>
        <w:ind w:firstLine="600"/>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7、客户服务（10分）</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客服系统需24小时通畅，做到有问必答，不能即时解答或解决的问题告知原因及处理时限，承诺的投诉事项必须在期限内完成。</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如有投诉，经确认运营方有责任的，视影响程度，每起扣1-2分；</w:t>
      </w:r>
      <w:r/>
    </w:p>
    <w:p>
      <w:pPr>
        <w:ind w:firstLine="600"/>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8、用户反馈（10分）</w:t>
      </w:r>
      <w:r/>
    </w:p>
    <w:p>
      <w:pPr>
        <w:ind w:firstLine="600"/>
        <w:keepLines w:val="0"/>
        <w:keepNext w:val="0"/>
        <w:pageBreakBefore w:val="0"/>
        <w:spacing w:line="360" w:lineRule="auto"/>
        <w:widowControl w:val="off"/>
        <w:rPr>
          <w:rFonts w:hint="eastAsia" w:ascii="宋体" w:hAnsi="宋体"/>
          <w:szCs w:val="21"/>
        </w:rPr>
      </w:pPr>
      <w:r>
        <w:rPr>
          <w:rFonts w:hint="eastAsia" w:ascii="宋体" w:hAnsi="宋体"/>
          <w:b/>
          <w:szCs w:val="21"/>
        </w:rPr>
        <w:t xml:space="preserve">8.1</w:t>
      </w:r>
      <w:r>
        <w:rPr>
          <w:rFonts w:hint="eastAsia" w:ascii="宋体" w:hAnsi="宋体"/>
          <w:szCs w:val="21"/>
        </w:rPr>
        <w:t xml:space="preserve">通过公共自行车管理服务中心及其他渠道进行用户满意率统计，用户满意率在80%以上为合格，每低于标准1个百分点扣1分。</w:t>
      </w:r>
      <w:r/>
    </w:p>
    <w:p>
      <w:pPr>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     8.2、</w:t>
      </w:r>
      <w:r>
        <w:rPr>
          <w:rFonts w:hint="eastAsia" w:ascii="宋体" w:hAnsi="宋体"/>
          <w:szCs w:val="21"/>
        </w:rPr>
        <w:t xml:space="preserve">重复投诉率：如同一事项投诉重复三次，一次性扣5分-10分。</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pStyle w:val="720"/>
        <w:ind w:left="0" w:firstLine="420"/>
        <w:jc w:val="center"/>
        <w:spacing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1、本次采购评标方法为综合评分法，即是指投标文件满足招标文件全部实质性要求，且按照评审因素的量化指标评审得分最高的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所提供货物服务的质量相关，包括投标报价、技术或者服务水平、履约能力、售后服务等。总分值为100分，价格分值占总分值的比重为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3"/>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初审评审指标 </w:t>
      </w:r>
      <w:r>
        <w:rPr>
          <w:rFonts w:hint="eastAsia" w:ascii="宋体" w:hAnsi="宋体" w:eastAsia="宋体" w:cs="宋体"/>
          <w:b/>
          <w:color w:val="000000" w:themeColor="text1"/>
          <w:sz w:val="21"/>
          <w:szCs w:val="21"/>
          <w:highlight w:val="none"/>
          <w14:textFill>
            <w14:solidFill>
              <w14:schemeClr w14:val="tx1"/>
            </w14:solidFill>
          </w14:textFill>
        </w:rPr>
        <w:t xml:space="preserve">  </w:t>
      </w:r>
      <w:r/>
    </w:p>
    <w:tbl>
      <w:tblPr>
        <w:tblStyle w:val="698"/>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bookmarkStart w:id="32" w:name="gpc_accord_horizontal_1"/>
            <w:r>
              <w:rPr>
                <w:rFonts w:hint="eastAsia" w:ascii="宋体" w:hAnsi="宋体" w:eastAsia="宋体" w:cs="宋体"/>
                <w:b/>
                <w:bCs/>
                <w:color w:val="000000" w:themeColor="text1"/>
                <w:sz w:val="21"/>
                <w:szCs w:val="21"/>
                <w:highlight w:val="none"/>
                <w14:textFill>
                  <w14:solidFill>
                    <w14:schemeClr w14:val="tx1"/>
                  </w14:solidFill>
                </w14:textFill>
              </w:rPr>
              <w:t xml:space="preserve">指标</w:t>
            </w:r>
            <w:r/>
          </w:p>
        </w:tc>
        <w:tc>
          <w:tcPr>
            <w:tcW w:w="4089"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sz w:val="21"/>
                <w:szCs w:val="21"/>
              </w:rPr>
              <w:t xml:space="preserve">评审规则</w:t>
            </w:r>
            <w:r/>
          </w:p>
        </w:tc>
      </w:tr>
      <w:tr>
        <w:trPr>
          <w:jc w:val="center"/>
          <w:trHeight w:val="522"/>
        </w:trPr>
        <w:tc>
          <w:tcPr>
            <w:tcW w:w="3601"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资格性检查</w:t>
            </w:r>
            <w:r/>
          </w:p>
        </w:tc>
        <w:tc>
          <w:tcPr>
            <w:tcW w:w="4089"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详见招标文件</w:t>
            </w:r>
            <w:r/>
          </w:p>
        </w:tc>
      </w:tr>
      <w:tr>
        <w:trPr>
          <w:jc w:val="center"/>
          <w:trHeight w:val="184"/>
        </w:trPr>
        <w:tc>
          <w:tcPr>
            <w:tcW w:w="3601"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符合性检查</w:t>
            </w:r>
            <w:r/>
          </w:p>
        </w:tc>
        <w:tc>
          <w:tcPr>
            <w:tcW w:w="4089"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详见招标文件</w:t>
            </w:r>
            <w:bookmarkEnd w:id="32"/>
            <w:r/>
            <w:r/>
          </w:p>
        </w:tc>
      </w:tr>
    </w:tbl>
    <w:p>
      <w:pPr>
        <w:pStyle w:val="916"/>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numPr>
          <w:ilvl w:val="0"/>
          <w:numId w:val="0"/>
        </w:numPr>
        <w:keepLines w:val="0"/>
        <w:keepNext w:val="0"/>
        <w:pageBreakBefore w:val="0"/>
        <w:spacing w:line="360" w:lineRule="auto"/>
        <w:widowControl w:val="off"/>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复审评审指标 </w:t>
      </w:r>
      <w:r/>
    </w:p>
    <w:tbl>
      <w:tblPr>
        <w:tblStyle w:val="698"/>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2065"/>
        <w:gridCol w:w="5979"/>
        <w:gridCol w:w="761"/>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价格</w:t>
            </w:r>
            <w:r/>
          </w:p>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（评标基准价／投标报价）×价格权值×100；（计算到小数点后二位）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10</w:t>
            </w:r>
            <w:r/>
          </w:p>
        </w:tc>
      </w:tr>
      <w:tr>
        <w:trPr>
          <w:jc w:val="center"/>
          <w:trHeight w:val="447"/>
        </w:trPr>
        <w:tc>
          <w:tcPr>
            <w:tcBorders>
              <w:top w:val="single" w:color="auto" w:sz="4" w:space="0"/>
              <w:left w:val="single" w:color="auto" w:sz="4" w:space="0"/>
              <w:right w:val="single" w:color="auto" w:sz="4" w:space="0"/>
            </w:tcBorders>
            <w:tcW w:w="1212"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t xml:space="preserve">技术部分</w:t>
            </w:r>
            <w:r/>
          </w:p>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t xml:space="preserve">（90分）</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s="宋体"/>
                <w:szCs w:val="21"/>
              </w:rPr>
              <w:t xml:space="preserve">对项目的了解</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投标人对本项目的了解：</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①项目实际情况分析，</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②重难点分析，</w:t>
            </w:r>
            <w:r>
              <w:rPr>
                <w:rFonts w:hint="eastAsia" w:ascii="宋体" w:hAnsi="宋体" w:cs="宋体"/>
                <w:color w:val="000000"/>
                <w:szCs w:val="21"/>
                <w:lang w:val="zh-CN"/>
              </w:rPr>
              <w:t xml:space="preserve">符合项目实际情况且详细完善</w:t>
            </w:r>
            <w:r>
              <w:rPr>
                <w:rFonts w:hint="eastAsia" w:ascii="宋体" w:hAnsi="宋体" w:cs="宋体"/>
                <w:color w:val="000000"/>
                <w:szCs w:val="21"/>
              </w:rPr>
              <w:t xml:space="preserve">得</w:t>
            </w:r>
            <w:r>
              <w:rPr>
                <w:rFonts w:hint="eastAsia" w:ascii="宋体" w:hAnsi="宋体" w:cs="宋体"/>
              </w:rPr>
              <w:t xml:space="preserve">2分；</w:t>
            </w:r>
            <w:r/>
          </w:p>
          <w:p>
            <w:pPr>
              <w:ind w:left="0" w:right="0"/>
              <w:jc w:val="left"/>
              <w:keepLines w:val="0"/>
              <w:keepNext w:val="0"/>
              <w:spacing w:before="0" w:beforeAutospacing="0" w:after="0" w:afterAutospacing="0"/>
              <w:widowControl/>
              <w:rPr>
                <w:rFonts w:hint="eastAsia" w:ascii="宋体" w:hAnsi="宋体" w:cs="宋体"/>
                <w:position w:val="6"/>
                <w:sz w:val="30"/>
                <w:szCs w:val="20"/>
              </w:rPr>
              <w:suppressLineNumbers w:val="0"/>
            </w:pPr>
            <w:r>
              <w:rPr>
                <w:rFonts w:hint="eastAsia" w:ascii="宋体" w:hAnsi="宋体" w:cs="宋体"/>
              </w:rPr>
              <w:t xml:space="preserve">③重难点解决应对措施，</w:t>
            </w:r>
            <w:r>
              <w:rPr>
                <w:rFonts w:hint="eastAsia" w:ascii="宋体" w:hAnsi="宋体" w:cs="宋体"/>
                <w:color w:val="000000"/>
                <w:szCs w:val="21"/>
                <w:lang w:val="zh-CN"/>
              </w:rPr>
              <w:t xml:space="preserve">符合项目实际情况且详细完善</w:t>
            </w:r>
            <w:r>
              <w:rPr>
                <w:rFonts w:hint="eastAsia" w:ascii="宋体" w:hAnsi="宋体" w:cs="宋体"/>
                <w:color w:val="000000"/>
                <w:szCs w:val="21"/>
              </w:rPr>
              <w:t xml:space="preserve">得</w:t>
            </w:r>
            <w:r>
              <w:rPr>
                <w:rFonts w:hint="eastAsia" w:ascii="宋体" w:hAnsi="宋体" w:cs="宋体"/>
              </w:rPr>
              <w:t xml:space="preserve">3分</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7</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olor w:val="000000"/>
                <w:szCs w:val="21"/>
              </w:rPr>
              <w:t xml:space="preserve">站点管理服务方案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000000"/>
                <w:szCs w:val="21"/>
              </w:rPr>
              <w:suppressLineNumbers w:val="0"/>
            </w:pPr>
            <w:r>
              <w:rPr>
                <w:rFonts w:hint="eastAsia" w:ascii="宋体" w:hAnsi="宋体"/>
                <w:color w:val="000000"/>
                <w:szCs w:val="21"/>
              </w:rPr>
              <w:t xml:space="preserve">针对本项目的站点管理服务方案：</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①站点管理人员安排</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得4分；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②站点设施设备运行状态管理方案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得4分。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ascii="宋体" w:hAnsi="宋体" w:cs="宋体"/>
                <w:bCs/>
                <w:szCs w:val="21"/>
              </w:rPr>
              <w:suppressLineNumbers w:val="0"/>
            </w:pPr>
            <w:r>
              <w:rPr>
                <w:rFonts w:hint="eastAsia" w:ascii="宋体" w:hAnsi="宋体"/>
                <w:color w:val="000000"/>
                <w:szCs w:val="21"/>
              </w:rPr>
              <w:t xml:space="preserve">8</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olor w:val="000000"/>
                <w:szCs w:val="21"/>
              </w:rPr>
              <w:t xml:space="preserve">车辆调度服务方案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000000"/>
                <w:szCs w:val="21"/>
              </w:rPr>
              <w:suppressLineNumbers w:val="0"/>
            </w:pPr>
            <w:r>
              <w:rPr>
                <w:rFonts w:hint="eastAsia" w:ascii="宋体" w:hAnsi="宋体"/>
                <w:color w:val="000000"/>
                <w:szCs w:val="21"/>
              </w:rPr>
              <w:t xml:space="preserve">针对本项目的车辆调度服务方案：</w:t>
            </w:r>
            <w:r/>
          </w:p>
          <w:p>
            <w:pPr>
              <w:ind w:left="0" w:right="0"/>
              <w:jc w:val="left"/>
              <w:keepLines w:val="0"/>
              <w:keepNext w:val="0"/>
              <w:spacing w:before="0" w:beforeAutospacing="0" w:after="0" w:afterAutospacing="0"/>
              <w:widowControl/>
              <w:rPr>
                <w:rFonts w:hint="eastAsia" w:ascii="宋体" w:hAnsi="宋体"/>
                <w:color w:val="000000"/>
                <w:szCs w:val="21"/>
              </w:rPr>
              <w:suppressLineNumbers w:val="0"/>
            </w:pPr>
            <w:r>
              <w:rPr>
                <w:rFonts w:hint="eastAsia" w:ascii="宋体" w:hAnsi="宋体"/>
                <w:color w:val="000000"/>
                <w:szCs w:val="21"/>
              </w:rPr>
              <w:t xml:space="preserve">①车辆维保方案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得3分；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②早、中、晚各时段调度方案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得3分；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③重大节假日对于公共自行车需求量较大且道路拥堵时调度方案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olor w:val="000000"/>
                <w:szCs w:val="21"/>
              </w:rPr>
              <w:t xml:space="preserve">9</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olor w:val="000000"/>
                <w:szCs w:val="21"/>
              </w:rPr>
              <w:t xml:space="preserve">保洁服务方案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000000"/>
                <w:szCs w:val="21"/>
              </w:rPr>
              <w:suppressLineNumbers w:val="0"/>
            </w:pPr>
            <w:r>
              <w:rPr>
                <w:rFonts w:hint="eastAsia" w:ascii="宋体" w:hAnsi="宋体"/>
                <w:color w:val="000000"/>
                <w:szCs w:val="21"/>
              </w:rPr>
              <w:t xml:space="preserve">针对本项目的保洁服务方案：</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①保洁人员配备方案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得3分；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②详细保洁方案，包括但不限于公共自行车、无线通讯控制器、站点自行车底板等</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olor w:val="000000"/>
                <w:szCs w:val="21"/>
              </w:rPr>
              <w:t xml:space="preserve">6</w:t>
            </w:r>
            <w:r/>
          </w:p>
        </w:tc>
      </w:tr>
      <w:tr>
        <w:trPr>
          <w:jc w:val="center"/>
          <w:trHeight w:val="90"/>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s="宋体"/>
                <w:szCs w:val="21"/>
              </w:rPr>
              <w:t xml:space="preserve">设施设备更新方案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olor w:val="000000"/>
                <w:szCs w:val="21"/>
              </w:rPr>
              <w:t xml:space="preserve">针对本项目的</w:t>
            </w:r>
            <w:r>
              <w:rPr>
                <w:rFonts w:hint="eastAsia" w:ascii="宋体" w:hAnsi="宋体" w:cs="宋体"/>
                <w:szCs w:val="21"/>
              </w:rPr>
              <w:t xml:space="preserve">设施设备更新方案：</w:t>
            </w:r>
            <w:r/>
          </w:p>
          <w:p>
            <w:pPr>
              <w:ind w:left="0" w:right="0"/>
              <w:jc w:val="left"/>
              <w:keepLines w:val="0"/>
              <w:keepNext w:val="0"/>
              <w:spacing w:before="0" w:beforeAutospacing="0" w:after="0" w:afterAutospacing="0"/>
              <w:widowControl/>
              <w:rPr>
                <w:rFonts w:hint="eastAsia"/>
              </w:rPr>
              <w:suppressLineNumbers w:val="0"/>
            </w:pPr>
            <w:r>
              <w:rPr>
                <w:rFonts w:hint="eastAsia" w:ascii="宋体" w:hAnsi="宋体" w:cs="宋体"/>
                <w:szCs w:val="21"/>
              </w:rPr>
              <w:t xml:space="preserve">①</w:t>
            </w:r>
            <w:r>
              <w:rPr>
                <w:rFonts w:hint="eastAsia"/>
              </w:rPr>
              <w:t xml:space="preserve">设备设施更新清单</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jc w:val="left"/>
              <w:keepLines w:val="0"/>
              <w:keepNext w:val="0"/>
              <w:spacing w:before="0" w:beforeAutospacing="0" w:after="0" w:afterAutospacing="0"/>
              <w:widowControl/>
              <w:rPr>
                <w:rFonts w:hint="eastAsia"/>
              </w:rPr>
              <w:suppressLineNumbers w:val="0"/>
            </w:pPr>
            <w:r>
              <w:rPr>
                <w:rFonts w:hint="eastAsia"/>
              </w:rPr>
              <w:t xml:space="preserve">②设备设施更新周期</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4</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olor w:val="000000"/>
                <w:szCs w:val="21"/>
              </w:rPr>
              <w:t xml:space="preserve">投诉处理服务方案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olor w:val="000000"/>
                <w:szCs w:val="21"/>
              </w:rPr>
              <w:t xml:space="preserve">针对本项目的</w:t>
            </w:r>
            <w:r>
              <w:rPr>
                <w:rFonts w:hint="eastAsia" w:ascii="宋体" w:hAnsi="宋体" w:cs="宋体"/>
                <w:szCs w:val="21"/>
              </w:rPr>
              <w:t xml:space="preserve">投诉处理服务方案：</w:t>
            </w:r>
            <w:r/>
          </w:p>
          <w:p>
            <w:pPr>
              <w:ind w:left="0" w:right="0"/>
              <w:jc w:val="left"/>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s="宋体"/>
                <w:szCs w:val="21"/>
              </w:rPr>
              <w:t xml:space="preserve">①投诉热线坐席安排</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jc w:val="left"/>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s="宋体"/>
                <w:szCs w:val="21"/>
              </w:rPr>
              <w:t xml:space="preserve">②投诉处理事件安排</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jc w:val="left"/>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s="宋体"/>
                <w:szCs w:val="21"/>
              </w:rPr>
              <w:t xml:space="preserve">③投诉处理方案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olor w:val="000000"/>
                <w:szCs w:val="21"/>
              </w:rPr>
              <w:t xml:space="preserve">6</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rPr>
              <w:suppressLineNumbers w:val="0"/>
            </w:pPr>
            <w:r>
              <w:rPr>
                <w:rFonts w:hint="eastAsia" w:ascii="宋体" w:hAnsi="宋体"/>
                <w:color w:val="000000"/>
                <w:szCs w:val="21"/>
              </w:rPr>
              <w:t xml:space="preserve">防盗监控方案及偷倒解决措施</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pStyle w:val="701"/>
              <w:ind w:left="0" w:right="0"/>
              <w:keepLines w:val="0"/>
              <w:keepNext w:val="0"/>
              <w:spacing w:before="0" w:beforeAutospacing="0" w:after="0" w:afterAutospacing="0"/>
              <w:rPr>
                <w:rFonts w:hint="eastAsia" w:ascii="宋体" w:hAnsi="宋体"/>
                <w:color w:val="000000"/>
                <w:szCs w:val="21"/>
              </w:rPr>
              <w:suppressLineNumbers w:val="0"/>
            </w:pPr>
            <w:r>
              <w:rPr>
                <w:rFonts w:hint="eastAsia" w:ascii="宋体" w:hAnsi="宋体"/>
                <w:color w:val="000000"/>
                <w:szCs w:val="21"/>
              </w:rPr>
              <w:t xml:space="preserve">针对本项目的防盗监控方案及偷盗解决措施：</w:t>
            </w:r>
            <w:r/>
          </w:p>
          <w:p>
            <w:pPr>
              <w:pStyle w:val="701"/>
              <w:ind w:left="0" w:right="0"/>
              <w:keepLines w:val="0"/>
              <w:keepNext w:val="0"/>
              <w:spacing w:before="0" w:beforeAutospacing="0" w:after="0" w:afterAutospacing="0"/>
              <w:rPr>
                <w:rFonts w:hint="eastAsia"/>
              </w:rPr>
              <w:suppressLineNumbers w:val="0"/>
            </w:pPr>
            <w:r>
              <w:rPr>
                <w:rFonts w:hint="eastAsia"/>
              </w:rPr>
              <w:t xml:space="preserve">①防盗监控方案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keepLines w:val="0"/>
              <w:keepNext w:val="0"/>
              <w:spacing w:before="0" w:beforeAutospacing="0" w:after="0" w:afterAutospacing="0"/>
              <w:rPr>
                <w:rFonts w:hint="eastAsia"/>
              </w:rPr>
              <w:suppressLineNumbers w:val="0"/>
            </w:pPr>
            <w:r>
              <w:rPr>
                <w:rFonts w:hint="eastAsia"/>
              </w:rPr>
              <w:t xml:space="preserve">②发生偷盗行为后的处理解决方案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olor w:val="000000"/>
                <w:szCs w:val="21"/>
              </w:rPr>
              <w:t xml:space="preserve">4</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rPr>
              <w:suppressLineNumbers w:val="0"/>
            </w:pPr>
            <w:r>
              <w:rPr>
                <w:rFonts w:hint="eastAsia" w:ascii="宋体" w:hAnsi="宋体"/>
                <w:color w:val="000000"/>
                <w:szCs w:val="21"/>
              </w:rPr>
              <w:t xml:space="preserve">宣传方案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rPr>
              <w:suppressLineNumbers w:val="0"/>
            </w:pPr>
            <w:r>
              <w:rPr>
                <w:rFonts w:hint="eastAsia" w:ascii="宋体" w:hAnsi="宋体"/>
                <w:color w:val="000000"/>
                <w:szCs w:val="21"/>
              </w:rPr>
              <w:t xml:space="preserve">针对本项目的</w:t>
            </w:r>
            <w:r>
              <w:rPr>
                <w:rFonts w:hint="eastAsia"/>
              </w:rPr>
              <w:t xml:space="preserve">宣传方案：</w:t>
            </w:r>
            <w:r/>
          </w:p>
          <w:p>
            <w:pPr>
              <w:pStyle w:val="701"/>
              <w:ind w:left="0" w:right="0"/>
              <w:keepLines w:val="0"/>
              <w:keepNext w:val="0"/>
              <w:spacing w:before="0" w:beforeAutospacing="0" w:after="0" w:afterAutospacing="0"/>
              <w:rPr>
                <w:rFonts w:hint="eastAsia"/>
              </w:rPr>
              <w:suppressLineNumbers w:val="0"/>
            </w:pPr>
            <w:r>
              <w:rPr>
                <w:rFonts w:hint="eastAsia"/>
              </w:rPr>
              <w:t xml:space="preserve">①宣传内容</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pStyle w:val="701"/>
              <w:ind w:left="0" w:right="0"/>
              <w:keepLines w:val="0"/>
              <w:keepNext w:val="0"/>
              <w:spacing w:before="0" w:beforeAutospacing="0" w:after="0" w:afterAutospacing="0"/>
              <w:rPr>
                <w:rFonts w:hint="eastAsia"/>
              </w:rPr>
              <w:suppressLineNumbers w:val="0"/>
            </w:pPr>
            <w:r>
              <w:rPr>
                <w:rFonts w:hint="eastAsia"/>
              </w:rPr>
              <w:t xml:space="preserve">②宣传途径及详细实施方案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olor w:val="000000"/>
                <w:szCs w:val="21"/>
              </w:rPr>
              <w:t xml:space="preserve">4</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rPr>
              <w:suppressLineNumbers w:val="0"/>
            </w:pPr>
            <w:r>
              <w:rPr>
                <w:rFonts w:hint="eastAsia" w:ascii="宋体" w:hAnsi="宋体"/>
                <w:color w:val="000000"/>
                <w:szCs w:val="21"/>
              </w:rPr>
              <w:t xml:space="preserve">故障报修及维修处理服务方案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rPr>
              <w:suppressLineNumbers w:val="0"/>
            </w:pPr>
            <w:r>
              <w:rPr>
                <w:rFonts w:hint="eastAsia" w:ascii="宋体" w:hAnsi="宋体"/>
                <w:color w:val="000000"/>
                <w:szCs w:val="21"/>
              </w:rPr>
              <w:t xml:space="preserve">针对本项目的</w:t>
            </w:r>
            <w:r>
              <w:rPr>
                <w:rFonts w:hint="eastAsia"/>
              </w:rPr>
              <w:t xml:space="preserve">故障报修及维修处理服务方案：</w:t>
            </w:r>
            <w:r/>
          </w:p>
          <w:p>
            <w:pPr>
              <w:ind w:left="0" w:right="0"/>
              <w:jc w:val="left"/>
              <w:keepLines w:val="0"/>
              <w:keepNext w:val="0"/>
              <w:spacing w:before="0" w:beforeAutospacing="0" w:after="0" w:afterAutospacing="0"/>
              <w:widowControl/>
              <w:rPr>
                <w:rFonts w:hint="eastAsia"/>
              </w:rPr>
              <w:suppressLineNumbers w:val="0"/>
            </w:pPr>
            <w:r>
              <w:rPr>
                <w:rFonts w:hint="eastAsia"/>
              </w:rPr>
              <w:t xml:space="preserve">①故障报修响应、到场、解决时间安排</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得3分；</w:t>
            </w:r>
            <w:r/>
          </w:p>
          <w:p>
            <w:pPr>
              <w:ind w:left="0" w:right="0"/>
              <w:jc w:val="left"/>
              <w:keepLines w:val="0"/>
              <w:keepNext w:val="0"/>
              <w:spacing w:before="0" w:beforeAutospacing="0" w:after="0" w:afterAutospacing="0"/>
              <w:widowControl/>
              <w:rPr>
                <w:rFonts w:hint="eastAsia"/>
              </w:rPr>
              <w:suppressLineNumbers w:val="0"/>
            </w:pPr>
            <w:r>
              <w:rPr>
                <w:rFonts w:hint="eastAsia"/>
              </w:rPr>
              <w:t xml:space="preserve">②针对不同类型故障的维修处理方案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olor w:val="000000"/>
                <w:szCs w:val="21"/>
              </w:rPr>
              <w:t xml:space="preserve">6</w:t>
            </w:r>
            <w:r/>
          </w:p>
        </w:tc>
      </w:tr>
      <w:tr>
        <w:trPr>
          <w:jc w:val="center"/>
          <w:trHeight w:val="90"/>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rPr>
              <w:suppressLineNumbers w:val="0"/>
            </w:pPr>
            <w:r>
              <w:rPr>
                <w:rFonts w:hint="eastAsia" w:ascii="宋体" w:hAnsi="宋体" w:cs="宋体"/>
                <w:color w:val="000000"/>
                <w:szCs w:val="21"/>
              </w:rPr>
              <w:t xml:space="preserve">日常巡查及维修保养方案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000000"/>
                <w:szCs w:val="21"/>
              </w:rPr>
              <w:suppressLineNumbers w:val="0"/>
            </w:pPr>
            <w:r>
              <w:rPr>
                <w:rFonts w:hint="eastAsia" w:ascii="宋体" w:hAnsi="宋体"/>
                <w:color w:val="000000"/>
                <w:szCs w:val="21"/>
              </w:rPr>
              <w:t xml:space="preserve">针对本项目的</w:t>
            </w:r>
            <w:r>
              <w:rPr>
                <w:rFonts w:hint="eastAsia" w:ascii="宋体" w:hAnsi="宋体" w:cs="宋体"/>
                <w:color w:val="000000"/>
                <w:szCs w:val="21"/>
              </w:rPr>
              <w:t xml:space="preserve">日常巡查及维修保养方案</w:t>
            </w:r>
            <w:r>
              <w:rPr>
                <w:rFonts w:hint="eastAsia" w:ascii="宋体" w:hAnsi="宋体"/>
                <w:color w:val="000000"/>
                <w:szCs w:val="21"/>
              </w:rPr>
              <w:t xml:space="preserve">：</w:t>
            </w:r>
            <w:r/>
          </w:p>
          <w:p>
            <w:pPr>
              <w:ind w:left="0" w:right="0"/>
              <w:jc w:val="left"/>
              <w:keepLines w:val="0"/>
              <w:keepNext w:val="0"/>
              <w:spacing w:before="0" w:beforeAutospacing="0" w:after="0" w:afterAutospacing="0"/>
              <w:widowControl/>
              <w:rPr>
                <w:rFonts w:hint="eastAsia" w:ascii="宋体" w:hAnsi="宋体"/>
                <w:color w:val="000000"/>
                <w:szCs w:val="21"/>
              </w:rPr>
              <w:suppressLineNumbers w:val="0"/>
            </w:pPr>
            <w:r>
              <w:rPr>
                <w:rFonts w:hint="eastAsia" w:ascii="宋体" w:hAnsi="宋体"/>
                <w:color w:val="000000"/>
                <w:szCs w:val="21"/>
              </w:rPr>
              <w:t xml:space="preserve">①日常巡查方案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得4分；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②公共自行车</w:t>
            </w:r>
            <w:r>
              <w:rPr>
                <w:rFonts w:hint="eastAsia" w:ascii="宋体" w:hAnsi="宋体" w:cs="宋体"/>
                <w:color w:val="000000"/>
                <w:szCs w:val="21"/>
              </w:rPr>
              <w:t xml:space="preserve">维修保养方案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color w:val="000000"/>
                <w:szCs w:val="21"/>
              </w:rPr>
              <w:t xml:space="preserve">③无线通讯控制器维修保养方案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color w:val="000000"/>
                <w:szCs w:val="21"/>
              </w:rPr>
              <w:t xml:space="preserve">④锁车柱维修保养方案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color w:val="000000"/>
                <w:szCs w:val="21"/>
              </w:rPr>
              <w:t xml:space="preserve">⑤其他零配件维修保养方案</w:t>
            </w:r>
            <w:r>
              <w:rPr>
                <w:rFonts w:hint="eastAsia" w:ascii="宋体" w:hAnsi="宋体" w:cs="宋体"/>
              </w:rPr>
              <w:t xml:space="preserve">，</w:t>
            </w:r>
            <w:r>
              <w:rPr>
                <w:rFonts w:hint="eastAsia" w:ascii="宋体" w:hAnsi="宋体" w:cs="宋体"/>
                <w:color w:val="000000"/>
                <w:szCs w:val="21"/>
                <w:lang w:val="zh-CN"/>
              </w:rPr>
              <w:t xml:space="preserve">符合项目实际情况且详细完善</w:t>
            </w:r>
            <w:r>
              <w:rPr>
                <w:rFonts w:hint="eastAsia" w:ascii="宋体" w:hAnsi="宋体" w:cs="宋体"/>
              </w:rPr>
              <w:t xml:space="preserve">得2分。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ascii="宋体" w:hAnsi="宋体" w:cs="宋体"/>
                <w:bCs/>
                <w:szCs w:val="21"/>
              </w:rPr>
              <w:suppressLineNumbers w:val="0"/>
            </w:pPr>
            <w:r>
              <w:rPr>
                <w:rFonts w:hint="eastAsia" w:ascii="宋体" w:hAnsi="宋体"/>
                <w:color w:val="000000"/>
                <w:szCs w:val="21"/>
              </w:rPr>
              <w:t xml:space="preserve">12</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rPr>
              <w:suppressLineNumbers w:val="0"/>
            </w:pPr>
            <w:r>
              <w:rPr>
                <w:rFonts w:hint="eastAsia" w:ascii="宋体" w:hAnsi="宋体" w:cs="宋体"/>
                <w:bCs/>
                <w:color w:val="000000"/>
                <w:szCs w:val="21"/>
              </w:rPr>
              <w:t xml:space="preserve">管理制度</w:t>
            </w:r>
            <w:r/>
          </w:p>
        </w:tc>
        <w:tc>
          <w:tcPr>
            <w:tcBorders>
              <w:top w:val="single" w:color="auto" w:sz="4" w:space="0"/>
              <w:left w:val="single" w:color="auto" w:sz="4" w:space="0"/>
              <w:bottom w:val="single" w:color="auto" w:sz="4" w:space="0"/>
              <w:right w:val="single" w:color="auto" w:sz="4" w:space="0"/>
            </w:tcBorders>
            <w:tcW w:w="5979"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olor w:val="000000"/>
                <w:szCs w:val="21"/>
              </w:rPr>
              <w:t xml:space="preserve">针对本项目的</w:t>
            </w:r>
            <w:r>
              <w:rPr>
                <w:rFonts w:hint="eastAsia" w:ascii="宋体" w:hAnsi="宋体" w:cs="宋体"/>
              </w:rPr>
              <w:t xml:space="preserve">管理制度：</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①人员管理制度，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②车辆及其他设备工具管理制度，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③质量管理制度，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④奖惩考核制度，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⑤档案管理制度，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ind w:left="0" w:right="0"/>
              <w:jc w:val="left"/>
              <w:keepLines w:val="0"/>
              <w:keepNext w:val="0"/>
              <w:spacing w:before="0" w:beforeAutospacing="0" w:after="0" w:afterAutospacing="0"/>
              <w:widowControl/>
              <w:rPr>
                <w:rFonts w:hint="eastAsia" w:ascii="宋体" w:hAnsi="宋体" w:cs="宋体"/>
              </w:rPr>
              <w:suppressLineNumbers w:val="0"/>
            </w:pPr>
            <w:r>
              <w:rPr>
                <w:rFonts w:hint="eastAsia" w:ascii="宋体" w:hAnsi="宋体" w:cs="宋体"/>
              </w:rPr>
              <w:t xml:space="preserve">⑥财务管理制度，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6</w:t>
            </w:r>
            <w:r/>
          </w:p>
        </w:tc>
      </w:tr>
      <w:tr>
        <w:trPr>
          <w:jc w:val="center"/>
          <w:trHeight w:val="90"/>
        </w:trPr>
        <w:tc>
          <w:tcPr>
            <w:tcBorders>
              <w:left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000000"/>
                <w:szCs w:val="21"/>
              </w:rPr>
              <w:suppressLineNumbers w:val="0"/>
            </w:pPr>
            <w:r>
              <w:rPr>
                <w:rFonts w:hint="eastAsia" w:ascii="宋体" w:hAnsi="宋体" w:cs="宋体"/>
                <w:bCs/>
                <w:color w:val="000000"/>
                <w:szCs w:val="21"/>
              </w:rPr>
              <w:t xml:space="preserve">安全管理方案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Cs w:val="21"/>
              </w:rPr>
              <w:suppressLineNumbers w:val="0"/>
            </w:pPr>
            <w:r>
              <w:rPr>
                <w:rFonts w:hint="eastAsia" w:ascii="宋体" w:hAnsi="宋体"/>
                <w:color w:val="000000"/>
                <w:szCs w:val="21"/>
              </w:rPr>
              <w:t xml:space="preserve">针对本项目的</w:t>
            </w:r>
            <w:r>
              <w:rPr>
                <w:rFonts w:hint="eastAsia" w:ascii="宋体" w:hAnsi="宋体" w:cs="宋体"/>
                <w:color w:val="000000"/>
                <w:szCs w:val="21"/>
              </w:rPr>
              <w:t xml:space="preserve">安全管理方案</w:t>
            </w:r>
            <w:r>
              <w:rPr>
                <w:rFonts w:hint="eastAsia" w:ascii="宋体" w:hAnsi="宋体" w:cs="宋体"/>
                <w:bCs/>
                <w:szCs w:val="21"/>
              </w:rPr>
              <w:t xml:space="preserve">：</w:t>
            </w:r>
            <w:r/>
          </w:p>
          <w:p>
            <w:pPr>
              <w:ind w:left="0" w:right="0"/>
              <w:jc w:val="left"/>
              <w:keepLines w:val="0"/>
              <w:keepNext w:val="0"/>
              <w:spacing w:before="0" w:beforeAutospacing="0" w:after="0" w:afterAutospacing="0"/>
              <w:widowControl/>
              <w:rPr>
                <w:rFonts w:hint="eastAsia" w:ascii="宋体" w:hAnsi="宋体" w:cs="宋体"/>
                <w:color w:val="000000"/>
                <w:szCs w:val="21"/>
              </w:rPr>
              <w:suppressLineNumbers w:val="0"/>
            </w:pPr>
            <w:r>
              <w:rPr>
                <w:rFonts w:hint="eastAsia" w:ascii="宋体" w:hAnsi="宋体" w:cs="宋体"/>
                <w:color w:val="000000"/>
                <w:szCs w:val="21"/>
              </w:rPr>
              <w:t xml:space="preserve">①车辆运输安全管理方案，</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color w:val="000000"/>
                <w:szCs w:val="21"/>
              </w:rPr>
              <w:t xml:space="preserve">3分；</w:t>
            </w:r>
            <w:r/>
          </w:p>
          <w:p>
            <w:pPr>
              <w:ind w:left="0" w:right="0"/>
              <w:jc w:val="left"/>
              <w:keepLines w:val="0"/>
              <w:keepNext w:val="0"/>
              <w:spacing w:before="0" w:beforeAutospacing="0" w:after="0" w:afterAutospacing="0"/>
              <w:widowControl/>
              <w:rPr>
                <w:rFonts w:hint="eastAsia" w:ascii="宋体" w:hAnsi="宋体" w:cs="宋体"/>
                <w:color w:val="000000"/>
                <w:szCs w:val="21"/>
              </w:rPr>
              <w:suppressLineNumbers w:val="0"/>
            </w:pPr>
            <w:r>
              <w:rPr>
                <w:rFonts w:hint="eastAsia" w:ascii="宋体" w:hAnsi="宋体" w:cs="宋体"/>
                <w:color w:val="000000"/>
                <w:szCs w:val="21"/>
              </w:rPr>
              <w:t xml:space="preserve">②人员安全管理方案，</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color w:val="000000"/>
                <w:szCs w:val="21"/>
              </w:rPr>
              <w:t xml:space="preserve">3分；</w:t>
            </w:r>
            <w:r/>
          </w:p>
          <w:p>
            <w:pPr>
              <w:ind w:left="0" w:right="0"/>
              <w:jc w:val="left"/>
              <w:keepLines w:val="0"/>
              <w:keepNext w:val="0"/>
              <w:spacing w:before="0" w:beforeAutospacing="0" w:after="0" w:afterAutospacing="0"/>
              <w:widowControl/>
              <w:rPr>
                <w:rFonts w:hint="eastAsia" w:ascii="宋体" w:hAnsi="宋体" w:cs="宋体"/>
                <w:color w:val="000000"/>
                <w:szCs w:val="21"/>
              </w:rPr>
              <w:suppressLineNumbers w:val="0"/>
            </w:pPr>
            <w:r>
              <w:rPr>
                <w:rFonts w:hint="eastAsia" w:ascii="宋体" w:hAnsi="宋体" w:cs="宋体"/>
                <w:color w:val="000000"/>
                <w:szCs w:val="21"/>
              </w:rPr>
              <w:t xml:space="preserve">③其他各种风险规避方案，</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color w:val="000000"/>
                <w:szCs w:val="21"/>
              </w:rPr>
              <w:t xml:space="preserve">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rPr>
              <w:suppressLineNumbers w:val="0"/>
            </w:pPr>
            <w:r>
              <w:rPr>
                <w:rFonts w:hint="eastAsia" w:ascii="宋体" w:hAnsi="宋体" w:cs="宋体"/>
                <w:bCs/>
              </w:rPr>
              <w:t xml:space="preserve">9</w:t>
            </w:r>
            <w:r/>
          </w:p>
        </w:tc>
      </w:tr>
      <w:tr>
        <w:trPr>
          <w:jc w:val="center"/>
          <w:trHeight w:val="447"/>
        </w:trPr>
        <w:tc>
          <w:tcPr>
            <w:tcBorders>
              <w:left w:val="single" w:color="auto" w:sz="4" w:space="0"/>
              <w:bottom w:val="single" w:color="auto" w:sz="4" w:space="0"/>
              <w:right w:val="single" w:color="auto" w:sz="4" w:space="0"/>
            </w:tcBorders>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szCs w:val="21"/>
              </w:rPr>
              <w:suppressLineNumbers w:val="0"/>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szCs w:val="21"/>
              </w:rPr>
              <w:suppressLineNumbers w:val="0"/>
            </w:pPr>
            <w:r>
              <w:rPr>
                <w:rFonts w:hint="eastAsia" w:ascii="宋体" w:hAnsi="宋体" w:cs="宋体"/>
                <w:color w:val="000000"/>
                <w:szCs w:val="21"/>
              </w:rPr>
              <w:t xml:space="preserve">类似业绩</w:t>
            </w:r>
            <w:r/>
          </w:p>
        </w:tc>
        <w:tc>
          <w:tcPr>
            <w:tcBorders>
              <w:top w:val="single" w:color="auto" w:sz="4" w:space="0"/>
              <w:left w:val="single" w:color="auto" w:sz="4" w:space="0"/>
              <w:bottom w:val="single" w:color="auto" w:sz="4" w:space="0"/>
              <w:right w:val="single" w:color="auto" w:sz="4" w:space="0"/>
            </w:tcBorders>
            <w:tcW w:w="5979" w:type="dxa"/>
            <w:vAlign w:val="top"/>
            <w:textDirection w:val="lrTb"/>
            <w:noWrap w:val="false"/>
          </w:tcPr>
          <w:p>
            <w:pPr>
              <w:pStyle w:val="702"/>
              <w:ind w:left="-15"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投标人202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年1月1日至今（以合同签订时间为准）承接过类似项目的，每有一个得3分，最高9分。</w:t>
            </w:r>
            <w:r/>
          </w:p>
          <w:p>
            <w:pPr>
              <w:pStyle w:val="702"/>
              <w:ind w:left="-15"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注：提供有效合同及服务发票扫描件。</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9</w:t>
            </w:r>
            <w:r/>
          </w:p>
        </w:tc>
      </w:tr>
    </w:tbl>
    <w:p>
      <w:pPr>
        <w:pStyle w:val="699"/>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4"/>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4"/>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rPr>
        <w:t xml:space="preserve">3、</w:t>
      </w:r>
      <w:r>
        <w:rPr>
          <w:rFonts w:hint="eastAsia" w:ascii="宋体" w:hAnsi="宋体" w:cs="宋体"/>
          <w:b/>
          <w:bCs/>
          <w:color w:val="000000"/>
          <w:szCs w:val="21"/>
          <w:highlight w:val="none"/>
        </w:rPr>
        <w:t xml:space="preserve">项目涉及评审的资料均需以电子件形式上传，本项目不收取纸质投标文件及相关原件等纸质材料，仅以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pStyle w:val="916"/>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pStyle w:val="96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99"/>
    <w:link w:val="1033"/>
    <w:uiPriority w:val="0"/>
    <w:qFormat/>
    <w:pPr>
      <w:jc w:val="both"/>
      <w:widowControl w:val="off"/>
    </w:pPr>
    <w:rPr>
      <w:rFonts w:hint="default" w:ascii="Times New Roman" w:hAnsi="Times New Roman" w:eastAsia="宋体" w:cs="Times New Roman"/>
      <w:sz w:val="21"/>
      <w:szCs w:val="24"/>
    </w:rPr>
  </w:style>
  <w:style w:type="paragraph" w:styleId="688">
    <w:name w:val="Heading 1"/>
    <w:basedOn w:val="687"/>
    <w:next w:val="687"/>
    <w:link w:val="756"/>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57"/>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58"/>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59"/>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60"/>
    <w:uiPriority w:val="9"/>
    <w:unhideWhenUsed/>
    <w:qFormat/>
    <w:pPr>
      <w:keepLines/>
      <w:keepNext/>
      <w:spacing w:before="320" w:after="200"/>
      <w:outlineLvl w:val="4"/>
    </w:pPr>
    <w:rPr>
      <w:rFonts w:ascii="Arial" w:hAnsi="Arial" w:eastAsia="Arial" w:cs="Arial"/>
      <w:b/>
      <w:bCs/>
      <w:sz w:val="24"/>
    </w:rPr>
  </w:style>
  <w:style w:type="paragraph" w:styleId="693">
    <w:name w:val="Heading 6"/>
    <w:basedOn w:val="687"/>
    <w:next w:val="687"/>
    <w:link w:val="761"/>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63"/>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64"/>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unhideWhenUsed/>
    <w:qFormat/>
  </w:style>
  <w:style w:type="table" w:styleId="698"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9">
    <w:name w:val="Body Text"/>
    <w:basedOn w:val="687"/>
    <w:uiPriority w:val="0"/>
    <w:qFormat/>
    <w:pPr>
      <w:jc w:val="center"/>
    </w:pPr>
    <w:rPr>
      <w:rFonts w:ascii="方正大黑简体" w:eastAsia="方正大黑简体"/>
      <w:position w:val="6"/>
      <w:sz w:val="30"/>
      <w:szCs w:val="20"/>
    </w:rPr>
  </w:style>
  <w:style w:type="paragraph" w:styleId="700">
    <w:name w:val="toc 7"/>
    <w:basedOn w:val="687"/>
    <w:next w:val="687"/>
    <w:uiPriority w:val="39"/>
    <w:unhideWhenUsed/>
    <w:qFormat/>
    <w:pPr>
      <w:ind w:left="1701"/>
      <w:spacing w:after="57"/>
    </w:pPr>
  </w:style>
  <w:style w:type="paragraph" w:styleId="701">
    <w:name w:val="table of authorities"/>
    <w:basedOn w:val="687"/>
    <w:next w:val="687"/>
    <w:uiPriority w:val="0"/>
    <w:qFormat/>
    <w:pPr>
      <w:ind w:left="420"/>
    </w:pPr>
    <w:rPr>
      <w:szCs w:val="20"/>
    </w:rPr>
  </w:style>
  <w:style w:type="paragraph" w:styleId="702">
    <w:name w:val="Normal Indent"/>
    <w:basedOn w:val="687"/>
    <w:next w:val="687"/>
    <w:uiPriority w:val="0"/>
    <w:qFormat/>
    <w:pPr>
      <w:ind w:firstLine="420"/>
    </w:pPr>
  </w:style>
  <w:style w:type="paragraph" w:styleId="703">
    <w:name w:val="Caption"/>
    <w:basedOn w:val="687"/>
    <w:next w:val="68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7"/>
    <w:uiPriority w:val="99"/>
    <w:unhideWhenUsed/>
    <w:qFormat/>
    <w:pPr>
      <w:jc w:val="left"/>
    </w:pPr>
  </w:style>
  <w:style w:type="paragraph" w:styleId="705">
    <w:name w:val="Body Text Indent"/>
    <w:basedOn w:val="687"/>
    <w:uiPriority w:val="0"/>
    <w:qFormat/>
    <w:pPr>
      <w:ind w:left="570"/>
      <w:spacing w:line="520" w:lineRule="exact"/>
    </w:pPr>
    <w:rPr>
      <w:rFonts w:ascii="方正仿宋简体" w:hAnsi="创艺简仿宋" w:eastAsia="方正仿宋简体"/>
    </w:rPr>
  </w:style>
  <w:style w:type="paragraph" w:styleId="706">
    <w:name w:val="toc 5"/>
    <w:basedOn w:val="687"/>
    <w:next w:val="687"/>
    <w:uiPriority w:val="39"/>
    <w:unhideWhenUsed/>
    <w:qFormat/>
    <w:pPr>
      <w:ind w:left="1134"/>
      <w:spacing w:after="57"/>
    </w:pPr>
  </w:style>
  <w:style w:type="paragraph" w:styleId="707">
    <w:name w:val="toc 3"/>
    <w:basedOn w:val="687"/>
    <w:next w:val="687"/>
    <w:uiPriority w:val="39"/>
    <w:unhideWhenUsed/>
    <w:qFormat/>
    <w:pPr>
      <w:ind w:left="567"/>
      <w:spacing w:after="57"/>
    </w:pPr>
  </w:style>
  <w:style w:type="paragraph" w:styleId="708">
    <w:name w:val="Plain Text"/>
    <w:basedOn w:val="687"/>
    <w:uiPriority w:val="0"/>
    <w:qFormat/>
    <w:rPr>
      <w:rFonts w:ascii="宋体" w:hAnsi="Courier New" w:eastAsia="楷体_GB2312"/>
      <w:sz w:val="28"/>
      <w:szCs w:val="20"/>
    </w:rPr>
  </w:style>
  <w:style w:type="paragraph" w:styleId="709">
    <w:name w:val="toc 8"/>
    <w:basedOn w:val="687"/>
    <w:next w:val="687"/>
    <w:uiPriority w:val="39"/>
    <w:unhideWhenUsed/>
    <w:qFormat/>
    <w:pPr>
      <w:ind w:left="1984"/>
      <w:spacing w:after="57"/>
    </w:pPr>
  </w:style>
  <w:style w:type="paragraph" w:styleId="710">
    <w:name w:val="Date"/>
    <w:basedOn w:val="687"/>
    <w:next w:val="687"/>
    <w:uiPriority w:val="0"/>
    <w:qFormat/>
    <w:rPr>
      <w:rFonts w:hint="eastAsia" w:ascii="宋体" w:hAnsi="宋体" w:eastAsia="楷体_GB2312"/>
      <w:sz w:val="24"/>
      <w:szCs w:val="20"/>
    </w:rPr>
  </w:style>
  <w:style w:type="paragraph" w:styleId="711">
    <w:name w:val="endnote text"/>
    <w:basedOn w:val="687"/>
    <w:link w:val="901"/>
    <w:uiPriority w:val="99"/>
    <w:unhideWhenUsed/>
    <w:qFormat/>
    <w:rPr>
      <w:sz w:val="20"/>
    </w:rPr>
  </w:style>
  <w:style w:type="paragraph" w:styleId="712">
    <w:name w:val="Balloon Text"/>
    <w:basedOn w:val="687"/>
    <w:link w:val="1024"/>
    <w:uiPriority w:val="99"/>
    <w:unhideWhenUsed/>
    <w:qFormat/>
    <w:rPr>
      <w:sz w:val="18"/>
      <w:szCs w:val="18"/>
    </w:rPr>
  </w:style>
  <w:style w:type="paragraph" w:styleId="713">
    <w:name w:val="Footer"/>
    <w:basedOn w:val="687"/>
    <w:link w:val="774"/>
    <w:uiPriority w:val="99"/>
    <w:unhideWhenUsed/>
    <w:qFormat/>
    <w:pPr>
      <w:tabs>
        <w:tab w:val="center" w:pos="7143" w:leader="none"/>
        <w:tab w:val="right" w:pos="14287" w:leader="none"/>
      </w:tabs>
    </w:pPr>
  </w:style>
  <w:style w:type="paragraph" w:styleId="714">
    <w:name w:val="Header"/>
    <w:basedOn w:val="687"/>
    <w:link w:val="772"/>
    <w:uiPriority w:val="99"/>
    <w:unhideWhenUsed/>
    <w:qFormat/>
    <w:pPr>
      <w:tabs>
        <w:tab w:val="center" w:pos="7143" w:leader="none"/>
        <w:tab w:val="right" w:pos="14287" w:leader="none"/>
      </w:tabs>
    </w:pPr>
  </w:style>
  <w:style w:type="paragraph" w:styleId="715">
    <w:name w:val="toc 1"/>
    <w:basedOn w:val="687"/>
    <w:next w:val="687"/>
    <w:uiPriority w:val="39"/>
    <w:unhideWhenUsed/>
    <w:qFormat/>
    <w:pPr>
      <w:spacing w:after="57"/>
    </w:pPr>
  </w:style>
  <w:style w:type="paragraph" w:styleId="716">
    <w:name w:val="toc 4"/>
    <w:basedOn w:val="687"/>
    <w:next w:val="687"/>
    <w:uiPriority w:val="39"/>
    <w:unhideWhenUsed/>
    <w:qFormat/>
    <w:pPr>
      <w:ind w:left="850"/>
      <w:spacing w:after="57"/>
    </w:pPr>
  </w:style>
  <w:style w:type="paragraph" w:styleId="717">
    <w:name w:val="Subtitle"/>
    <w:basedOn w:val="687"/>
    <w:next w:val="687"/>
    <w:link w:val="767"/>
    <w:uiPriority w:val="11"/>
    <w:qFormat/>
    <w:pPr>
      <w:spacing w:before="200" w:after="200"/>
    </w:pPr>
    <w:rPr>
      <w:sz w:val="24"/>
    </w:rPr>
  </w:style>
  <w:style w:type="paragraph" w:styleId="718">
    <w:name w:val="footnote text"/>
    <w:basedOn w:val="687"/>
    <w:link w:val="900"/>
    <w:uiPriority w:val="99"/>
    <w:unhideWhenUsed/>
    <w:qFormat/>
    <w:pPr>
      <w:spacing w:after="40"/>
    </w:pPr>
    <w:rPr>
      <w:sz w:val="18"/>
    </w:rPr>
  </w:style>
  <w:style w:type="paragraph" w:styleId="719">
    <w:name w:val="toc 6"/>
    <w:basedOn w:val="687"/>
    <w:next w:val="687"/>
    <w:uiPriority w:val="39"/>
    <w:unhideWhenUsed/>
    <w:qFormat/>
    <w:pPr>
      <w:ind w:left="1417"/>
      <w:spacing w:after="57"/>
    </w:pPr>
  </w:style>
  <w:style w:type="paragraph" w:styleId="720">
    <w:name w:val="Body Text Indent 3"/>
    <w:basedOn w:val="687"/>
    <w:uiPriority w:val="0"/>
    <w:qFormat/>
    <w:pPr>
      <w:ind w:left="420"/>
      <w:spacing w:after="120"/>
    </w:pPr>
    <w:rPr>
      <w:sz w:val="16"/>
      <w:szCs w:val="16"/>
    </w:rPr>
  </w:style>
  <w:style w:type="paragraph" w:styleId="721">
    <w:name w:val="table of figures"/>
    <w:basedOn w:val="687"/>
    <w:next w:val="687"/>
    <w:uiPriority w:val="99"/>
    <w:unhideWhenUsed/>
    <w:qFormat/>
  </w:style>
  <w:style w:type="paragraph" w:styleId="722">
    <w:name w:val="toc 2"/>
    <w:basedOn w:val="687"/>
    <w:next w:val="687"/>
    <w:uiPriority w:val="39"/>
    <w:unhideWhenUsed/>
    <w:qFormat/>
    <w:pPr>
      <w:ind w:left="283"/>
      <w:spacing w:after="57"/>
    </w:pPr>
  </w:style>
  <w:style w:type="paragraph" w:styleId="723">
    <w:name w:val="toc 9"/>
    <w:basedOn w:val="687"/>
    <w:next w:val="687"/>
    <w:uiPriority w:val="39"/>
    <w:unhideWhenUsed/>
    <w:qFormat/>
    <w:pPr>
      <w:ind w:left="2268"/>
      <w:spacing w:after="57"/>
    </w:pPr>
  </w:style>
  <w:style w:type="paragraph" w:styleId="724">
    <w:name w:val="Body Text 2"/>
    <w:basedOn w:val="687"/>
    <w:uiPriority w:val="0"/>
    <w:qFormat/>
    <w:pPr>
      <w:spacing w:after="120" w:line="480" w:lineRule="auto"/>
    </w:pPr>
    <w:rPr>
      <w:rFonts w:ascii="Tahoma" w:hAnsi="Tahoma"/>
    </w:rPr>
  </w:style>
  <w:style w:type="paragraph" w:styleId="725">
    <w:name w:val="Normal (Web)"/>
    <w:basedOn w:val="687"/>
    <w:uiPriority w:val="0"/>
    <w:qFormat/>
    <w:pPr>
      <w:ind w:left="0" w:right="0"/>
      <w:jc w:val="left"/>
      <w:spacing w:before="100" w:beforeAutospacing="1" w:after="100" w:afterAutospacing="1"/>
    </w:pPr>
    <w:rPr>
      <w:sz w:val="24"/>
      <w:lang w:val="en-US" w:eastAsia="zh-CN" w:bidi="ar"/>
    </w:rPr>
  </w:style>
  <w:style w:type="paragraph" w:styleId="726">
    <w:name w:val="Title"/>
    <w:basedOn w:val="687"/>
    <w:next w:val="687"/>
    <w:link w:val="766"/>
    <w:uiPriority w:val="10"/>
    <w:qFormat/>
    <w:pPr>
      <w:contextualSpacing/>
      <w:spacing w:before="300" w:after="200"/>
    </w:pPr>
    <w:rPr>
      <w:sz w:val="48"/>
      <w:szCs w:val="48"/>
    </w:rPr>
  </w:style>
  <w:style w:type="paragraph" w:styleId="727">
    <w:name w:val="Body Text First Indent 2"/>
    <w:basedOn w:val="705"/>
    <w:uiPriority w:val="99"/>
    <w:unhideWhenUsed/>
    <w:qFormat/>
    <w:pPr>
      <w:ind w:left="420" w:firstLine="200"/>
      <w:spacing w:after="120" w:line="240" w:lineRule="auto"/>
    </w:pPr>
    <w:rPr>
      <w:rFonts w:hAnsi="宋体"/>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697"/>
    <w:uiPriority w:val="22"/>
    <w:qFormat/>
    <w:rPr>
      <w:b/>
    </w:rPr>
  </w:style>
  <w:style w:type="character" w:styleId="730">
    <w:name w:val="endnote reference"/>
    <w:uiPriority w:val="99"/>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正文首行缩进 21"/>
    <w:basedOn w:val="734"/>
    <w:uiPriority w:val="99"/>
    <w:unhideWhenUsed/>
    <w:qFormat/>
    <w:pPr>
      <w:ind w:firstLine="420"/>
    </w:pPr>
  </w:style>
  <w:style w:type="paragraph" w:styleId="734" w:customStyle="1">
    <w:name w:val="正文文本缩进1"/>
    <w:basedOn w:val="687"/>
    <w:next w:val="735"/>
    <w:link w:val="917"/>
    <w:uiPriority w:val="0"/>
    <w:qFormat/>
    <w:pPr>
      <w:ind w:left="570"/>
      <w:spacing w:line="520" w:lineRule="exact"/>
    </w:pPr>
    <w:rPr>
      <w:rFonts w:ascii="方正仿宋简体" w:hAnsi="创艺简仿宋" w:eastAsia="方正仿宋简体"/>
      <w:sz w:val="24"/>
      <w:szCs w:val="20"/>
    </w:rPr>
  </w:style>
  <w:style w:type="paragraph" w:styleId="735" w:customStyle="1">
    <w:name w:val="寄信人地址1"/>
    <w:basedOn w:val="687"/>
    <w:uiPriority w:val="0"/>
    <w:qFormat/>
    <w:rPr>
      <w:rFonts w:ascii="Arial" w:hAnsi="Arial" w:eastAsia="楷体_GB2312"/>
      <w:sz w:val="26"/>
    </w:rPr>
  </w:style>
  <w:style w:type="paragraph" w:styleId="736" w:customStyle="1">
    <w:name w:val="段"/>
    <w:next w:val="687"/>
    <w:uiPriority w:val="0"/>
    <w:qFormat/>
    <w:pPr>
      <w:ind w:firstLine="200"/>
      <w:jc w:val="both"/>
    </w:pPr>
    <w:rPr>
      <w:rFonts w:hint="default" w:ascii="宋体" w:hAnsi="Times New Roman" w:eastAsia="宋体" w:cs="Times New Roman"/>
      <w:sz w:val="21"/>
      <w:szCs w:val="22"/>
    </w:rPr>
  </w:style>
  <w:style w:type="paragraph" w:styleId="737" w:customStyle="1">
    <w:name w:val="标题 21"/>
    <w:basedOn w:val="687"/>
    <w:next w:val="687"/>
    <w:uiPriority w:val="0"/>
    <w:qFormat/>
    <w:pPr>
      <w:keepLines/>
      <w:keepNext/>
      <w:spacing w:before="260" w:after="260" w:line="416" w:lineRule="auto"/>
      <w:outlineLvl w:val="1"/>
    </w:pPr>
    <w:rPr>
      <w:rFonts w:ascii="Cambria" w:hAnsi="Cambria"/>
      <w:b/>
      <w:bCs/>
      <w:sz w:val="32"/>
      <w:szCs w:val="32"/>
    </w:rPr>
  </w:style>
  <w:style w:type="character" w:styleId="738" w:customStyle="1">
    <w:name w:val="Heading 1 Char"/>
    <w:basedOn w:val="697"/>
    <w:uiPriority w:val="9"/>
    <w:qFormat/>
    <w:rPr>
      <w:rFonts w:ascii="Arial" w:hAnsi="Arial" w:eastAsia="Arial" w:cs="Arial"/>
      <w:sz w:val="40"/>
      <w:szCs w:val="40"/>
    </w:rPr>
  </w:style>
  <w:style w:type="character" w:styleId="739" w:customStyle="1">
    <w:name w:val="Heading 2 Char"/>
    <w:basedOn w:val="697"/>
    <w:uiPriority w:val="9"/>
    <w:qFormat/>
    <w:rPr>
      <w:rFonts w:ascii="Arial" w:hAnsi="Arial" w:eastAsia="Arial" w:cs="Arial"/>
      <w:sz w:val="34"/>
    </w:rPr>
  </w:style>
  <w:style w:type="character" w:styleId="740" w:customStyle="1">
    <w:name w:val="Heading 3 Char"/>
    <w:basedOn w:val="697"/>
    <w:uiPriority w:val="9"/>
    <w:qFormat/>
    <w:rPr>
      <w:rFonts w:ascii="Arial" w:hAnsi="Arial" w:eastAsia="Arial" w:cs="Arial"/>
      <w:sz w:val="30"/>
      <w:szCs w:val="30"/>
    </w:rPr>
  </w:style>
  <w:style w:type="character" w:styleId="741" w:customStyle="1">
    <w:name w:val="Heading 4 Char"/>
    <w:basedOn w:val="697"/>
    <w:uiPriority w:val="9"/>
    <w:qFormat/>
    <w:rPr>
      <w:rFonts w:ascii="Arial" w:hAnsi="Arial" w:eastAsia="Arial" w:cs="Arial"/>
      <w:b/>
      <w:bCs/>
      <w:sz w:val="26"/>
      <w:szCs w:val="26"/>
    </w:rPr>
  </w:style>
  <w:style w:type="character" w:styleId="742" w:customStyle="1">
    <w:name w:val="Heading 5 Char"/>
    <w:basedOn w:val="697"/>
    <w:uiPriority w:val="9"/>
    <w:qFormat/>
    <w:rPr>
      <w:rFonts w:ascii="Arial" w:hAnsi="Arial" w:eastAsia="Arial" w:cs="Arial"/>
      <w:b/>
      <w:bCs/>
      <w:sz w:val="24"/>
      <w:szCs w:val="24"/>
    </w:rPr>
  </w:style>
  <w:style w:type="character" w:styleId="743" w:customStyle="1">
    <w:name w:val="Heading 6 Char"/>
    <w:basedOn w:val="697"/>
    <w:uiPriority w:val="9"/>
    <w:qFormat/>
    <w:rPr>
      <w:rFonts w:ascii="Arial" w:hAnsi="Arial" w:eastAsia="Arial" w:cs="Arial"/>
      <w:b/>
      <w:bCs/>
      <w:sz w:val="22"/>
      <w:szCs w:val="22"/>
    </w:rPr>
  </w:style>
  <w:style w:type="character" w:styleId="744" w:customStyle="1">
    <w:name w:val="Heading 7 Char"/>
    <w:basedOn w:val="697"/>
    <w:uiPriority w:val="9"/>
    <w:qFormat/>
    <w:rPr>
      <w:rFonts w:ascii="Arial" w:hAnsi="Arial" w:eastAsia="Arial" w:cs="Arial"/>
      <w:b/>
      <w:bCs/>
      <w:i/>
      <w:iCs/>
      <w:sz w:val="22"/>
      <w:szCs w:val="22"/>
    </w:rPr>
  </w:style>
  <w:style w:type="character" w:styleId="745" w:customStyle="1">
    <w:name w:val="Heading 8 Char"/>
    <w:basedOn w:val="697"/>
    <w:uiPriority w:val="9"/>
    <w:qFormat/>
    <w:rPr>
      <w:rFonts w:ascii="Arial" w:hAnsi="Arial" w:eastAsia="Arial" w:cs="Arial"/>
      <w:i/>
      <w:iCs/>
      <w:sz w:val="22"/>
      <w:szCs w:val="22"/>
    </w:rPr>
  </w:style>
  <w:style w:type="character" w:styleId="746" w:customStyle="1">
    <w:name w:val="Heading 9 Char"/>
    <w:basedOn w:val="697"/>
    <w:uiPriority w:val="9"/>
    <w:qFormat/>
    <w:rPr>
      <w:rFonts w:ascii="Arial" w:hAnsi="Arial" w:eastAsia="Arial" w:cs="Arial"/>
      <w:i/>
      <w:iCs/>
      <w:sz w:val="21"/>
      <w:szCs w:val="21"/>
    </w:rPr>
  </w:style>
  <w:style w:type="character" w:styleId="747" w:customStyle="1">
    <w:name w:val="Title Char"/>
    <w:basedOn w:val="697"/>
    <w:uiPriority w:val="10"/>
    <w:qFormat/>
    <w:rPr>
      <w:sz w:val="48"/>
      <w:szCs w:val="48"/>
    </w:rPr>
  </w:style>
  <w:style w:type="character" w:styleId="748" w:customStyle="1">
    <w:name w:val="Subtitle Char"/>
    <w:basedOn w:val="697"/>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character" w:styleId="751" w:customStyle="1">
    <w:name w:val="Header Char"/>
    <w:basedOn w:val="697"/>
    <w:uiPriority w:val="99"/>
    <w:qFormat/>
  </w:style>
  <w:style w:type="character" w:styleId="752" w:customStyle="1">
    <w:name w:val="Caption Char"/>
    <w:uiPriority w:val="99"/>
    <w:qFormat/>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paragraph" w:styleId="755" w:customStyle="1">
    <w:name w:val="TOC Heading"/>
    <w:uiPriority w:val="39"/>
    <w:unhideWhenUsed/>
    <w:qFormat/>
    <w:rPr>
      <w:rFonts w:hint="default" w:ascii="Times New Roman" w:hAnsi="Times New Roman" w:eastAsia="宋体" w:cs="Times New Roman"/>
    </w:rPr>
  </w:style>
  <w:style w:type="character" w:styleId="756" w:customStyle="1">
    <w:name w:val="标题 1 Char"/>
    <w:link w:val="688"/>
    <w:uiPriority w:val="9"/>
    <w:qFormat/>
    <w:rPr>
      <w:rFonts w:ascii="Arial" w:hAnsi="Arial" w:eastAsia="Arial" w:cs="Arial"/>
      <w:sz w:val="40"/>
      <w:szCs w:val="40"/>
    </w:rPr>
  </w:style>
  <w:style w:type="character" w:styleId="757" w:customStyle="1">
    <w:name w:val="标题 2 Char1"/>
    <w:link w:val="689"/>
    <w:uiPriority w:val="9"/>
    <w:qFormat/>
    <w:rPr>
      <w:rFonts w:ascii="Arial" w:hAnsi="Arial" w:eastAsia="Arial" w:cs="Arial"/>
      <w:sz w:val="34"/>
    </w:rPr>
  </w:style>
  <w:style w:type="character" w:styleId="758" w:customStyle="1">
    <w:name w:val="标题 3 Char1"/>
    <w:link w:val="690"/>
    <w:uiPriority w:val="9"/>
    <w:qFormat/>
    <w:rPr>
      <w:rFonts w:ascii="Arial" w:hAnsi="Arial" w:eastAsia="Arial" w:cs="Arial"/>
      <w:sz w:val="30"/>
      <w:szCs w:val="30"/>
    </w:rPr>
  </w:style>
  <w:style w:type="character" w:styleId="759" w:customStyle="1">
    <w:name w:val="标题 4 Char1"/>
    <w:link w:val="691"/>
    <w:uiPriority w:val="9"/>
    <w:qFormat/>
    <w:rPr>
      <w:rFonts w:ascii="Arial" w:hAnsi="Arial" w:eastAsia="Arial" w:cs="Arial"/>
      <w:b/>
      <w:bCs/>
      <w:sz w:val="26"/>
      <w:szCs w:val="26"/>
    </w:rPr>
  </w:style>
  <w:style w:type="character" w:styleId="760" w:customStyle="1">
    <w:name w:val="标题 5 Char"/>
    <w:link w:val="692"/>
    <w:uiPriority w:val="9"/>
    <w:qFormat/>
    <w:rPr>
      <w:rFonts w:ascii="Arial" w:hAnsi="Arial" w:eastAsia="Arial" w:cs="Arial"/>
      <w:b/>
      <w:bCs/>
      <w:sz w:val="24"/>
      <w:szCs w:val="24"/>
    </w:rPr>
  </w:style>
  <w:style w:type="character" w:styleId="761" w:customStyle="1">
    <w:name w:val="标题 6 Char"/>
    <w:link w:val="693"/>
    <w:uiPriority w:val="9"/>
    <w:qFormat/>
    <w:rPr>
      <w:rFonts w:ascii="Arial" w:hAnsi="Arial" w:eastAsia="Arial" w:cs="Arial"/>
      <w:b/>
      <w:bCs/>
      <w:sz w:val="22"/>
      <w:szCs w:val="22"/>
    </w:rPr>
  </w:style>
  <w:style w:type="character" w:styleId="762" w:customStyle="1">
    <w:name w:val="标题 7 Char"/>
    <w:link w:val="694"/>
    <w:uiPriority w:val="9"/>
    <w:qFormat/>
    <w:rPr>
      <w:rFonts w:ascii="Arial" w:hAnsi="Arial" w:eastAsia="Arial" w:cs="Arial"/>
      <w:b/>
      <w:bCs/>
      <w:i/>
      <w:iCs/>
      <w:sz w:val="22"/>
      <w:szCs w:val="22"/>
    </w:rPr>
  </w:style>
  <w:style w:type="character" w:styleId="763" w:customStyle="1">
    <w:name w:val="标题 8 Char"/>
    <w:link w:val="695"/>
    <w:uiPriority w:val="9"/>
    <w:qFormat/>
    <w:rPr>
      <w:rFonts w:ascii="Arial" w:hAnsi="Arial" w:eastAsia="Arial" w:cs="Arial"/>
      <w:i/>
      <w:iCs/>
      <w:sz w:val="22"/>
      <w:szCs w:val="22"/>
    </w:rPr>
  </w:style>
  <w:style w:type="character" w:styleId="764" w:customStyle="1">
    <w:name w:val="标题 9 Char"/>
    <w:link w:val="696"/>
    <w:uiPriority w:val="9"/>
    <w:qFormat/>
    <w:rPr>
      <w:rFonts w:ascii="Arial" w:hAnsi="Arial" w:eastAsia="Arial" w:cs="Arial"/>
      <w:i/>
      <w:iCs/>
      <w:sz w:val="21"/>
      <w:szCs w:val="21"/>
    </w:rPr>
  </w:style>
  <w:style w:type="paragraph" w:styleId="765" w:customStyle="1">
    <w:name w:val="No Spacing"/>
    <w:uiPriority w:val="1"/>
    <w:qFormat/>
    <w:rPr>
      <w:rFonts w:hint="default" w:ascii="Times New Roman" w:hAnsi="Times New Roman" w:eastAsia="宋体" w:cs="Times New Roman"/>
    </w:rPr>
  </w:style>
  <w:style w:type="character" w:styleId="766" w:customStyle="1">
    <w:name w:val="标题 Char1"/>
    <w:link w:val="726"/>
    <w:uiPriority w:val="10"/>
    <w:qFormat/>
    <w:rPr>
      <w:sz w:val="48"/>
      <w:szCs w:val="48"/>
    </w:rPr>
  </w:style>
  <w:style w:type="character" w:styleId="767" w:customStyle="1">
    <w:name w:val="副标题 Char"/>
    <w:link w:val="717"/>
    <w:uiPriority w:val="11"/>
    <w:qFormat/>
    <w:rPr>
      <w:sz w:val="24"/>
      <w:szCs w:val="24"/>
    </w:rPr>
  </w:style>
  <w:style w:type="paragraph" w:styleId="768" w:customStyle="1">
    <w:name w:val="Quote"/>
    <w:basedOn w:val="687"/>
    <w:next w:val="687"/>
    <w:link w:val="769"/>
    <w:uiPriority w:val="29"/>
    <w:qFormat/>
    <w:pPr>
      <w:ind w:left="720" w:right="720"/>
    </w:pPr>
    <w:rPr>
      <w:i/>
    </w:rPr>
  </w:style>
  <w:style w:type="character" w:styleId="769" w:customStyle="1">
    <w:name w:val="引用 Char"/>
    <w:link w:val="768"/>
    <w:uiPriority w:val="29"/>
    <w:qFormat/>
    <w:rPr>
      <w:i/>
    </w:rPr>
  </w:style>
  <w:style w:type="paragraph" w:styleId="770" w:customStyle="1">
    <w:name w:val="Intense Quote"/>
    <w:basedOn w:val="687"/>
    <w:next w:val="68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页眉 Char1"/>
    <w:link w:val="714"/>
    <w:uiPriority w:val="99"/>
    <w:qFormat/>
  </w:style>
  <w:style w:type="character" w:styleId="773" w:customStyle="1">
    <w:name w:val="Footer Char"/>
    <w:uiPriority w:val="99"/>
    <w:qFormat/>
  </w:style>
  <w:style w:type="character" w:styleId="774" w:customStyle="1">
    <w:name w:val="页脚 Char1"/>
    <w:link w:val="713"/>
    <w:uiPriority w:val="99"/>
    <w:qFormat/>
  </w:style>
  <w:style w:type="table" w:styleId="7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
    <w:link w:val="718"/>
    <w:uiPriority w:val="99"/>
    <w:qFormat/>
    <w:rPr>
      <w:sz w:val="18"/>
    </w:rPr>
  </w:style>
  <w:style w:type="character" w:styleId="901" w:customStyle="1">
    <w:name w:val="尾注文本 Char"/>
    <w:link w:val="711"/>
    <w:uiPriority w:val="99"/>
    <w:qFormat/>
    <w:rPr>
      <w:sz w:val="20"/>
    </w:rPr>
  </w:style>
  <w:style w:type="paragraph" w:styleId="902" w:customStyle="1">
    <w:name w:val="TOC 标题1"/>
    <w:uiPriority w:val="39"/>
    <w:unhideWhenUsed/>
    <w:qFormat/>
    <w:rPr>
      <w:rFonts w:hint="default" w:ascii="Times New Roman" w:hAnsi="Times New Roman" w:eastAsia="宋体" w:cs="Times New Roman"/>
    </w:rPr>
  </w:style>
  <w:style w:type="paragraph" w:styleId="903" w:customStyle="1">
    <w:name w:val="标题 111"/>
    <w:basedOn w:val="687"/>
    <w:next w:val="687"/>
    <w:uiPriority w:val="0"/>
    <w:qFormat/>
    <w:pPr>
      <w:keepLines/>
      <w:keepNext/>
      <w:spacing w:before="340" w:after="330" w:line="576" w:lineRule="auto"/>
      <w:outlineLvl w:val="0"/>
    </w:pPr>
    <w:rPr>
      <w:rFonts w:eastAsia="楷体_GB2312"/>
      <w:b/>
      <w:sz w:val="44"/>
      <w:szCs w:val="20"/>
    </w:rPr>
  </w:style>
  <w:style w:type="paragraph" w:styleId="904" w:customStyle="1">
    <w:name w:val="标题 211"/>
    <w:basedOn w:val="687"/>
    <w:next w:val="687"/>
    <w:link w:val="909"/>
    <w:uiPriority w:val="0"/>
    <w:qFormat/>
    <w:pPr>
      <w:keepLines/>
      <w:keepNext/>
      <w:spacing w:before="260" w:after="260" w:line="416" w:lineRule="auto"/>
      <w:outlineLvl w:val="1"/>
    </w:pPr>
    <w:rPr>
      <w:rFonts w:ascii="Cambria" w:hAnsi="Cambria"/>
      <w:b/>
      <w:bCs/>
      <w:sz w:val="32"/>
      <w:szCs w:val="32"/>
    </w:rPr>
  </w:style>
  <w:style w:type="paragraph" w:styleId="905" w:customStyle="1">
    <w:name w:val="标题 311"/>
    <w:basedOn w:val="687"/>
    <w:next w:val="687"/>
    <w:link w:val="910"/>
    <w:uiPriority w:val="0"/>
    <w:qFormat/>
    <w:pPr>
      <w:keepLines/>
      <w:keepNext/>
      <w:spacing w:before="260" w:after="260" w:line="416" w:lineRule="auto"/>
      <w:outlineLvl w:val="2"/>
    </w:pPr>
    <w:rPr>
      <w:b/>
      <w:bCs/>
      <w:sz w:val="32"/>
      <w:szCs w:val="32"/>
    </w:rPr>
  </w:style>
  <w:style w:type="paragraph" w:styleId="906" w:customStyle="1">
    <w:name w:val="标题 41"/>
    <w:basedOn w:val="687"/>
    <w:next w:val="687"/>
    <w:link w:val="911"/>
    <w:uiPriority w:val="0"/>
    <w:qFormat/>
    <w:pPr>
      <w:keepLines/>
      <w:keepNext/>
      <w:spacing w:before="280" w:after="290" w:line="376" w:lineRule="auto"/>
      <w:outlineLvl w:val="3"/>
    </w:pPr>
    <w:rPr>
      <w:rFonts w:ascii="Cambria" w:hAnsi="Cambria"/>
      <w:b/>
      <w:bCs/>
      <w:sz w:val="28"/>
      <w:szCs w:val="28"/>
    </w:rPr>
  </w:style>
  <w:style w:type="character" w:styleId="907" w:customStyle="1">
    <w:name w:val="默认段落字体1"/>
    <w:uiPriority w:val="1"/>
    <w:unhideWhenUsed/>
    <w:qFormat/>
  </w:style>
  <w:style w:type="table" w:styleId="908" w:customStyle="1">
    <w:name w:val="普通表格11"/>
    <w:uiPriority w:val="99"/>
    <w:unhideWhenUsed/>
    <w:qFormat/>
    <w:tblPr>
      <w:tblCellMar>
        <w:left w:w="0" w:type="dxa"/>
        <w:top w:w="0" w:type="dxa"/>
        <w:right w:w="0" w:type="dxa"/>
        <w:bottom w:w="0" w:type="dxa"/>
      </w:tblCellMar>
    </w:tblPr>
  </w:style>
  <w:style w:type="character" w:styleId="909" w:customStyle="1">
    <w:name w:val="标题 2 Char"/>
    <w:link w:val="904"/>
    <w:uiPriority w:val="0"/>
    <w:qFormat/>
    <w:rPr>
      <w:rFonts w:ascii="Cambria" w:hAnsi="Cambria"/>
      <w:b/>
      <w:bCs/>
      <w:sz w:val="32"/>
      <w:szCs w:val="32"/>
    </w:rPr>
  </w:style>
  <w:style w:type="character" w:styleId="910" w:customStyle="1">
    <w:name w:val="标题 3 Char"/>
    <w:link w:val="905"/>
    <w:uiPriority w:val="0"/>
    <w:semiHidden/>
    <w:qFormat/>
    <w:rPr>
      <w:b/>
      <w:bCs/>
      <w:sz w:val="32"/>
      <w:szCs w:val="32"/>
    </w:rPr>
  </w:style>
  <w:style w:type="character" w:styleId="911" w:customStyle="1">
    <w:name w:val="标题 4 Char"/>
    <w:link w:val="906"/>
    <w:uiPriority w:val="0"/>
    <w:qFormat/>
    <w:rPr>
      <w:rFonts w:ascii="Cambria" w:hAnsi="Cambria" w:eastAsia="宋体" w:cs="Times New Roman"/>
      <w:b/>
      <w:bCs/>
      <w:sz w:val="28"/>
      <w:szCs w:val="28"/>
    </w:rPr>
  </w:style>
  <w:style w:type="paragraph" w:styleId="912" w:customStyle="1">
    <w:name w:val="正文缩进1"/>
    <w:basedOn w:val="687"/>
    <w:link w:val="913"/>
    <w:uiPriority w:val="0"/>
    <w:qFormat/>
    <w:pPr>
      <w:ind w:firstLine="420"/>
      <w:jc w:val="left"/>
    </w:pPr>
    <w:rPr>
      <w:rFonts w:eastAsia="楷体_GB2312"/>
      <w:sz w:val="24"/>
      <w:szCs w:val="20"/>
    </w:rPr>
  </w:style>
  <w:style w:type="character" w:styleId="913" w:customStyle="1">
    <w:name w:val="正文缩进 Char"/>
    <w:link w:val="912"/>
    <w:uiPriority w:val="0"/>
    <w:qFormat/>
    <w:rPr>
      <w:rFonts w:eastAsia="楷体_GB2312"/>
      <w:sz w:val="24"/>
    </w:rPr>
  </w:style>
  <w:style w:type="paragraph" w:styleId="914" w:customStyle="1">
    <w:name w:val="文档结构图1"/>
    <w:basedOn w:val="687"/>
    <w:uiPriority w:val="0"/>
    <w:semiHidden/>
    <w:qFormat/>
    <w:pPr>
      <w:shd w:val="clear" w:color="auto" w:fill="000080"/>
    </w:pPr>
  </w:style>
  <w:style w:type="paragraph" w:styleId="915" w:customStyle="1">
    <w:name w:val="批注文字1"/>
    <w:basedOn w:val="687"/>
    <w:uiPriority w:val="0"/>
    <w:qFormat/>
    <w:pPr>
      <w:jc w:val="left"/>
    </w:pPr>
  </w:style>
  <w:style w:type="paragraph" w:styleId="916" w:customStyle="1">
    <w:name w:val="正文文本1"/>
    <w:basedOn w:val="687"/>
    <w:uiPriority w:val="0"/>
    <w:qFormat/>
    <w:pPr>
      <w:jc w:val="center"/>
    </w:pPr>
    <w:rPr>
      <w:rFonts w:ascii="方正大黑简体" w:eastAsia="方正大黑简体"/>
      <w:position w:val="6"/>
      <w:sz w:val="30"/>
      <w:szCs w:val="20"/>
    </w:rPr>
  </w:style>
  <w:style w:type="character" w:styleId="917" w:customStyle="1">
    <w:name w:val="正文文本缩进 Char"/>
    <w:link w:val="734"/>
    <w:uiPriority w:val="0"/>
    <w:qFormat/>
    <w:rPr>
      <w:rFonts w:ascii="方正仿宋简体" w:hAnsi="创艺简仿宋" w:eastAsia="方正仿宋简体"/>
      <w:sz w:val="24"/>
    </w:rPr>
  </w:style>
  <w:style w:type="paragraph" w:styleId="918" w:customStyle="1">
    <w:name w:val="纯文本121"/>
    <w:basedOn w:val="687"/>
    <w:link w:val="919"/>
    <w:uiPriority w:val="0"/>
    <w:qFormat/>
    <w:rPr>
      <w:rFonts w:ascii="宋体" w:hAnsi="Courier New" w:eastAsia="楷体_GB2312"/>
      <w:sz w:val="28"/>
      <w:szCs w:val="20"/>
    </w:rPr>
  </w:style>
  <w:style w:type="character" w:styleId="919" w:customStyle="1">
    <w:name w:val="纯文本 Char"/>
    <w:link w:val="918"/>
    <w:uiPriority w:val="0"/>
    <w:qFormat/>
    <w:rPr>
      <w:rFonts w:ascii="宋体" w:hAnsi="Courier New" w:eastAsia="楷体_GB2312"/>
      <w:sz w:val="28"/>
    </w:rPr>
  </w:style>
  <w:style w:type="paragraph" w:styleId="920" w:customStyle="1">
    <w:name w:val="日期1"/>
    <w:basedOn w:val="687"/>
    <w:next w:val="687"/>
    <w:uiPriority w:val="0"/>
    <w:qFormat/>
    <w:rPr>
      <w:rFonts w:hint="eastAsia" w:ascii="宋体" w:hAnsi="宋体" w:eastAsia="楷体_GB2312"/>
      <w:sz w:val="24"/>
      <w:szCs w:val="20"/>
    </w:rPr>
  </w:style>
  <w:style w:type="paragraph" w:styleId="921" w:customStyle="1">
    <w:name w:val="正文文本缩进 21"/>
    <w:basedOn w:val="687"/>
    <w:uiPriority w:val="0"/>
    <w:qFormat/>
    <w:pPr>
      <w:ind w:firstLine="540"/>
      <w:spacing w:line="360" w:lineRule="auto"/>
    </w:pPr>
    <w:rPr>
      <w:rFonts w:ascii="宋体" w:hAnsi="宋体"/>
      <w:sz w:val="24"/>
    </w:rPr>
  </w:style>
  <w:style w:type="paragraph" w:styleId="922" w:customStyle="1">
    <w:name w:val="批注框文本1"/>
    <w:basedOn w:val="687"/>
    <w:link w:val="923"/>
    <w:uiPriority w:val="0"/>
    <w:qFormat/>
    <w:rPr>
      <w:sz w:val="18"/>
      <w:szCs w:val="18"/>
    </w:rPr>
  </w:style>
  <w:style w:type="character" w:styleId="923" w:customStyle="1">
    <w:name w:val="批注框文本 Char"/>
    <w:link w:val="922"/>
    <w:uiPriority w:val="0"/>
    <w:qFormat/>
    <w:rPr>
      <w:sz w:val="18"/>
      <w:szCs w:val="18"/>
    </w:rPr>
  </w:style>
  <w:style w:type="paragraph" w:styleId="924" w:customStyle="1">
    <w:name w:val="页脚1"/>
    <w:basedOn w:val="687"/>
    <w:link w:val="925"/>
    <w:uiPriority w:val="99"/>
    <w:qFormat/>
    <w:pPr>
      <w:jc w:val="left"/>
      <w:tabs>
        <w:tab w:val="center" w:pos="4153" w:leader="none"/>
        <w:tab w:val="right" w:pos="8306" w:leader="none"/>
      </w:tabs>
    </w:pPr>
    <w:rPr>
      <w:sz w:val="18"/>
      <w:szCs w:val="18"/>
    </w:rPr>
  </w:style>
  <w:style w:type="character" w:styleId="925" w:customStyle="1">
    <w:name w:val="页脚 Char"/>
    <w:link w:val="924"/>
    <w:uiPriority w:val="99"/>
    <w:qFormat/>
    <w:rPr>
      <w:sz w:val="18"/>
      <w:szCs w:val="18"/>
    </w:rPr>
  </w:style>
  <w:style w:type="paragraph" w:styleId="926" w:customStyle="1">
    <w:name w:val="页眉1"/>
    <w:basedOn w:val="687"/>
    <w:link w:val="92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27" w:customStyle="1">
    <w:name w:val="页眉 Char"/>
    <w:link w:val="926"/>
    <w:uiPriority w:val="99"/>
    <w:qFormat/>
    <w:rPr>
      <w:rFonts w:eastAsia="楷体_GB2312"/>
      <w:sz w:val="18"/>
    </w:rPr>
  </w:style>
  <w:style w:type="paragraph" w:styleId="928" w:customStyle="1">
    <w:name w:val="目录 11"/>
    <w:basedOn w:val="687"/>
    <w:next w:val="687"/>
    <w:uiPriority w:val="39"/>
    <w:qFormat/>
    <w:pPr>
      <w:jc w:val="left"/>
    </w:pPr>
    <w:rPr>
      <w:rFonts w:eastAsia="楷体_GB2312"/>
      <w:sz w:val="24"/>
      <w:szCs w:val="20"/>
    </w:rPr>
  </w:style>
  <w:style w:type="paragraph" w:styleId="929" w:customStyle="1">
    <w:name w:val="正文文本缩进 311"/>
    <w:basedOn w:val="687"/>
    <w:uiPriority w:val="0"/>
    <w:qFormat/>
    <w:pPr>
      <w:ind w:left="420"/>
      <w:spacing w:after="120"/>
    </w:pPr>
    <w:rPr>
      <w:sz w:val="16"/>
      <w:szCs w:val="16"/>
    </w:rPr>
  </w:style>
  <w:style w:type="paragraph" w:styleId="930" w:customStyle="1">
    <w:name w:val="正文文本 21"/>
    <w:basedOn w:val="687"/>
    <w:uiPriority w:val="0"/>
    <w:qFormat/>
    <w:pPr>
      <w:spacing w:after="120" w:line="480" w:lineRule="auto"/>
    </w:pPr>
  </w:style>
  <w:style w:type="paragraph" w:styleId="931" w:customStyle="1">
    <w:name w:val="HTML 预设格式1"/>
    <w:basedOn w:val="68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32" w:customStyle="1">
    <w:name w:val="普通(网站)11"/>
    <w:basedOn w:val="687"/>
    <w:uiPriority w:val="0"/>
    <w:qFormat/>
    <w:pPr>
      <w:jc w:val="left"/>
      <w:spacing w:before="100" w:beforeAutospacing="1" w:after="100" w:afterAutospacing="1"/>
      <w:widowControl/>
    </w:pPr>
    <w:rPr>
      <w:rFonts w:ascii="宋体" w:hAnsi="宋体"/>
      <w:sz w:val="24"/>
    </w:rPr>
  </w:style>
  <w:style w:type="paragraph" w:styleId="933" w:customStyle="1">
    <w:name w:val="标题1"/>
    <w:basedOn w:val="687"/>
    <w:next w:val="687"/>
    <w:link w:val="934"/>
    <w:uiPriority w:val="0"/>
    <w:qFormat/>
    <w:pPr>
      <w:jc w:val="center"/>
      <w:spacing w:before="240" w:after="60"/>
      <w:outlineLvl w:val="0"/>
    </w:pPr>
    <w:rPr>
      <w:rFonts w:ascii="Cambria" w:hAnsi="Cambria"/>
      <w:b/>
      <w:bCs/>
      <w:sz w:val="32"/>
      <w:szCs w:val="32"/>
    </w:rPr>
  </w:style>
  <w:style w:type="character" w:styleId="934" w:customStyle="1">
    <w:name w:val="标题 Char"/>
    <w:link w:val="933"/>
    <w:uiPriority w:val="0"/>
    <w:qFormat/>
    <w:rPr>
      <w:rFonts w:ascii="Cambria" w:hAnsi="Cambria" w:cs="Times New Roman"/>
      <w:b/>
      <w:bCs/>
      <w:sz w:val="32"/>
      <w:szCs w:val="32"/>
    </w:rPr>
  </w:style>
  <w:style w:type="table" w:styleId="935" w:customStyle="1">
    <w:name w:val="网格型11"/>
    <w:basedOn w:val="908"/>
    <w:uiPriority w:val="0"/>
    <w:qFormat/>
    <w:tblPr>
      <w:tblCellMar>
        <w:left w:w="0" w:type="dxa"/>
        <w:top w:w="0" w:type="dxa"/>
        <w:right w:w="0" w:type="dxa"/>
        <w:bottom w:w="0" w:type="dxa"/>
      </w:tblCellMar>
    </w:tblPr>
  </w:style>
  <w:style w:type="character" w:styleId="936" w:customStyle="1">
    <w:name w:val="页码1"/>
    <w:basedOn w:val="907"/>
    <w:uiPriority w:val="0"/>
    <w:qFormat/>
  </w:style>
  <w:style w:type="character" w:styleId="937" w:customStyle="1">
    <w:name w:val="已访问的超链接1"/>
    <w:uiPriority w:val="99"/>
    <w:qFormat/>
    <w:rPr>
      <w:color w:val="606420"/>
      <w:u w:val="single"/>
    </w:rPr>
  </w:style>
  <w:style w:type="character" w:styleId="938" w:customStyle="1">
    <w:name w:val="超链接1"/>
    <w:uiPriority w:val="99"/>
    <w:qFormat/>
    <w:rPr>
      <w:color w:val="0000ff"/>
      <w:u w:val="single"/>
    </w:rPr>
  </w:style>
  <w:style w:type="paragraph" w:styleId="939" w:customStyle="1">
    <w:name w:val="标题 31"/>
    <w:basedOn w:val="687"/>
    <w:next w:val="687"/>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40" w:customStyle="1">
    <w:name w:val="font01"/>
    <w:uiPriority w:val="0"/>
    <w:qFormat/>
    <w:rPr>
      <w:rFonts w:hint="eastAsia" w:ascii="宋体" w:hAnsi="宋体" w:eastAsia="宋体" w:cs="宋体"/>
      <w:color w:val="000000"/>
      <w:sz w:val="20"/>
      <w:szCs w:val="20"/>
      <w:u w:val="none"/>
    </w:rPr>
  </w:style>
  <w:style w:type="character" w:styleId="941" w:customStyle="1">
    <w:name w:val="Plain Text Char"/>
    <w:link w:val="942"/>
    <w:uiPriority w:val="0"/>
    <w:qFormat/>
    <w:rPr>
      <w:rFonts w:ascii="宋体" w:hAnsi="Courier New" w:eastAsia="楷体_GB2312"/>
      <w:sz w:val="26"/>
    </w:rPr>
  </w:style>
  <w:style w:type="paragraph" w:styleId="942" w:customStyle="1">
    <w:name w:val="纯文本5"/>
    <w:basedOn w:val="687"/>
    <w:link w:val="941"/>
    <w:uiPriority w:val="0"/>
    <w:qFormat/>
    <w:rPr>
      <w:rFonts w:ascii="宋体" w:hAnsi="Courier New" w:eastAsia="楷体_GB2312"/>
      <w:sz w:val="26"/>
      <w:szCs w:val="20"/>
    </w:rPr>
  </w:style>
  <w:style w:type="character" w:styleId="943" w:customStyle="1">
    <w:name w:val="font11"/>
    <w:basedOn w:val="697"/>
    <w:uiPriority w:val="0"/>
    <w:qFormat/>
    <w:rPr>
      <w:rFonts w:hint="eastAsia" w:ascii="宋体" w:hAnsi="宋体" w:eastAsia="宋体" w:cs="宋体"/>
      <w:color w:val="000000"/>
      <w:sz w:val="21"/>
      <w:szCs w:val="21"/>
      <w:u w:val="none"/>
    </w:rPr>
  </w:style>
  <w:style w:type="character" w:styleId="944" w:customStyle="1">
    <w:name w:val="font61"/>
    <w:uiPriority w:val="0"/>
    <w:qFormat/>
    <w:rPr>
      <w:rFonts w:hint="eastAsia" w:ascii="宋体" w:hAnsi="宋体" w:eastAsia="宋体" w:cs="宋体"/>
      <w:color w:val="000000"/>
      <w:sz w:val="20"/>
      <w:szCs w:val="20"/>
      <w:u w:val="none"/>
    </w:rPr>
  </w:style>
  <w:style w:type="character" w:styleId="945" w:customStyle="1">
    <w:name w:val="font21"/>
    <w:uiPriority w:val="0"/>
    <w:qFormat/>
    <w:rPr>
      <w:rFonts w:hint="eastAsia" w:ascii="宋体" w:hAnsi="宋体" w:eastAsia="宋体" w:cs="宋体"/>
      <w:color w:val="000000"/>
      <w:sz w:val="21"/>
      <w:szCs w:val="21"/>
      <w:u w:val="none"/>
    </w:rPr>
  </w:style>
  <w:style w:type="character" w:styleId="946" w:customStyle="1">
    <w:name w:val="font41"/>
    <w:link w:val="687"/>
    <w:uiPriority w:val="0"/>
    <w:qFormat/>
    <w:rPr>
      <w:rFonts w:hint="eastAsia" w:ascii="宋体" w:hAnsi="宋体" w:eastAsia="宋体" w:cs="宋体"/>
      <w:color w:val="000000"/>
      <w:sz w:val="20"/>
      <w:szCs w:val="20"/>
      <w:u w:val="none"/>
    </w:rPr>
  </w:style>
  <w:style w:type="character" w:styleId="947" w:customStyle="1">
    <w:name w:val="font71"/>
    <w:uiPriority w:val="0"/>
    <w:qFormat/>
    <w:rPr>
      <w:rFonts w:hint="eastAsia" w:ascii="宋体" w:hAnsi="宋体" w:eastAsia="宋体" w:cs="宋体"/>
      <w:color w:val="000000"/>
      <w:sz w:val="28"/>
      <w:szCs w:val="28"/>
      <w:u w:val="none"/>
    </w:rPr>
  </w:style>
  <w:style w:type="character" w:styleId="948" w:customStyle="1">
    <w:name w:val="font31"/>
    <w:uiPriority w:val="0"/>
    <w:qFormat/>
    <w:rPr>
      <w:rFonts w:hint="eastAsia" w:ascii="宋体" w:hAnsi="宋体" w:eastAsia="宋体" w:cs="宋体"/>
      <w:color w:val="000000"/>
      <w:sz w:val="20"/>
      <w:szCs w:val="20"/>
      <w:u w:val="none"/>
    </w:rPr>
  </w:style>
  <w:style w:type="character" w:styleId="949" w:customStyle="1">
    <w:name w:val="font101"/>
    <w:uiPriority w:val="0"/>
    <w:qFormat/>
    <w:rPr>
      <w:rFonts w:hint="eastAsia" w:ascii="宋体" w:hAnsi="宋体" w:eastAsia="宋体" w:cs="宋体"/>
      <w:b/>
      <w:color w:val="000000"/>
      <w:sz w:val="28"/>
      <w:szCs w:val="28"/>
      <w:u w:val="none"/>
    </w:rPr>
  </w:style>
  <w:style w:type="paragraph" w:styleId="950" w:customStyle="1">
    <w:name w:val="缺省文本"/>
    <w:basedOn w:val="687"/>
    <w:uiPriority w:val="0"/>
    <w:qFormat/>
    <w:rPr>
      <w:sz w:val="24"/>
    </w:rPr>
  </w:style>
  <w:style w:type="paragraph" w:styleId="951" w:customStyle="1">
    <w:name w:val="xl3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2" w:customStyle="1">
    <w:name w:val="xl46"/>
    <w:basedOn w:val="687"/>
    <w:uiPriority w:val="0"/>
    <w:qFormat/>
    <w:pPr>
      <w:jc w:val="left"/>
      <w:spacing w:before="100" w:beforeAutospacing="1" w:after="100" w:afterAutospacing="1"/>
      <w:widowControl/>
    </w:pPr>
    <w:rPr>
      <w:rFonts w:hint="eastAsia" w:ascii="仿宋_GB2312" w:hAnsi="宋体" w:eastAsia="仿宋_GB2312"/>
      <w:sz w:val="24"/>
    </w:rPr>
  </w:style>
  <w:style w:type="paragraph" w:styleId="953" w:customStyle="1">
    <w:name w:val="font0"/>
    <w:basedOn w:val="687"/>
    <w:uiPriority w:val="0"/>
    <w:qFormat/>
    <w:pPr>
      <w:jc w:val="left"/>
      <w:spacing w:before="100" w:beforeAutospacing="1" w:after="100" w:afterAutospacing="1"/>
      <w:widowControl/>
    </w:pPr>
    <w:rPr>
      <w:rFonts w:hint="eastAsia" w:ascii="宋体" w:hAnsi="宋体"/>
      <w:sz w:val="24"/>
    </w:rPr>
  </w:style>
  <w:style w:type="paragraph" w:styleId="954" w:customStyle="1">
    <w:name w:val="xl35"/>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55" w:customStyle="1">
    <w:name w:val="xl48"/>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6" w:customStyle="1">
    <w:name w:val="xl32"/>
    <w:basedOn w:val="687"/>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57" w:customStyle="1">
    <w:name w:val="xl55"/>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58" w:customStyle="1">
    <w:name w:val="xl2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59" w:customStyle="1">
    <w:name w:val="xl5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0" w:customStyle="1">
    <w:name w:val="xl40"/>
    <w:basedOn w:val="687"/>
    <w:uiPriority w:val="0"/>
    <w:qFormat/>
    <w:pPr>
      <w:jc w:val="left"/>
      <w:spacing w:before="100" w:beforeAutospacing="1" w:after="100" w:afterAutospacing="1"/>
      <w:widowControl/>
      <w:pBdr>
        <w:bottom w:val="single" w:color="000000" w:sz="4" w:space="0"/>
      </w:pBdr>
    </w:pPr>
    <w:rPr>
      <w:sz w:val="24"/>
    </w:rPr>
  </w:style>
  <w:style w:type="paragraph" w:styleId="961" w:customStyle="1">
    <w:name w:val="Char"/>
    <w:basedOn w:val="687"/>
    <w:uiPriority w:val="0"/>
    <w:qFormat/>
    <w:pPr>
      <w:numPr>
        <w:ilvl w:val="0"/>
        <w:numId w:val="1"/>
      </w:numPr>
    </w:pPr>
    <w:rPr>
      <w:sz w:val="24"/>
    </w:rPr>
  </w:style>
  <w:style w:type="paragraph" w:styleId="962" w:customStyle="1">
    <w:name w:val="xl25"/>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3" w:customStyle="1">
    <w:name w:val="xl44"/>
    <w:basedOn w:val="687"/>
    <w:uiPriority w:val="0"/>
    <w:qFormat/>
    <w:pPr>
      <w:jc w:val="left"/>
      <w:spacing w:before="100" w:beforeAutospacing="1" w:after="100" w:afterAutospacing="1"/>
      <w:widowControl/>
    </w:pPr>
    <w:rPr>
      <w:sz w:val="24"/>
    </w:rPr>
  </w:style>
  <w:style w:type="paragraph" w:styleId="964" w:customStyle="1">
    <w:name w:val="xl31"/>
    <w:basedOn w:val="68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5" w:customStyle="1">
    <w:name w:val="Char Char Char"/>
    <w:basedOn w:val="687"/>
    <w:uiPriority w:val="0"/>
    <w:qFormat/>
    <w:pPr>
      <w:ind w:left="495" w:hanging="495"/>
      <w:tabs>
        <w:tab w:val="left" w:pos="495" w:leader="none"/>
        <w:tab w:val="left" w:pos="1545" w:leader="none"/>
      </w:tabs>
    </w:pPr>
    <w:rPr>
      <w:rFonts w:ascii="宋体" w:hAnsi="宋体"/>
    </w:rPr>
  </w:style>
  <w:style w:type="paragraph" w:styleId="966" w:customStyle="1">
    <w:name w:val="Plain Text2"/>
    <w:basedOn w:val="687"/>
    <w:uiPriority w:val="0"/>
    <w:qFormat/>
    <w:rPr>
      <w:rFonts w:ascii="宋体" w:hAnsi="Courier New" w:eastAsia="楷体_GB2312"/>
      <w:sz w:val="28"/>
      <w:szCs w:val="20"/>
    </w:rPr>
  </w:style>
  <w:style w:type="paragraph" w:styleId="967" w:customStyle="1">
    <w:name w:val="Char Char Char Char Char Char Char"/>
    <w:basedOn w:val="687"/>
    <w:uiPriority w:val="0"/>
    <w:qFormat/>
    <w:pPr>
      <w:ind w:firstLine="480"/>
      <w:spacing w:line="360" w:lineRule="auto"/>
    </w:pPr>
    <w:rPr>
      <w:rFonts w:ascii="Tahoma" w:hAnsi="Tahoma"/>
      <w:sz w:val="24"/>
      <w:szCs w:val="20"/>
    </w:rPr>
  </w:style>
  <w:style w:type="paragraph" w:styleId="968" w:customStyle="1">
    <w:name w:val="xl29"/>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9" w:customStyle="1">
    <w:name w:val="纯文本11"/>
    <w:basedOn w:val="687"/>
    <w:uiPriority w:val="0"/>
    <w:qFormat/>
    <w:rPr>
      <w:rFonts w:hint="eastAsia" w:ascii="宋体" w:hAnsi="Courier New" w:eastAsia="楷体_GB2312"/>
      <w:sz w:val="28"/>
      <w:szCs w:val="20"/>
    </w:rPr>
  </w:style>
  <w:style w:type="paragraph" w:styleId="970" w:customStyle="1">
    <w:name w:val="xl45"/>
    <w:basedOn w:val="687"/>
    <w:uiPriority w:val="0"/>
    <w:qFormat/>
    <w:pPr>
      <w:jc w:val="left"/>
      <w:spacing w:before="100" w:beforeAutospacing="1" w:after="100" w:afterAutospacing="1"/>
      <w:widowControl/>
    </w:pPr>
    <w:rPr>
      <w:rFonts w:hint="eastAsia" w:ascii="仿宋_GB2312" w:hAnsi="宋体" w:eastAsia="仿宋_GB2312"/>
      <w:sz w:val="24"/>
    </w:rPr>
  </w:style>
  <w:style w:type="paragraph" w:styleId="971" w:customStyle="1">
    <w:name w:val="font8"/>
    <w:basedOn w:val="687"/>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2" w:customStyle="1">
    <w:name w:val="xl39"/>
    <w:basedOn w:val="68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3" w:customStyle="1">
    <w:name w:val="Plain Text11"/>
    <w:basedOn w:val="687"/>
    <w:uiPriority w:val="0"/>
    <w:qFormat/>
    <w:rPr>
      <w:rFonts w:ascii="宋体" w:hAnsi="Courier New" w:eastAsia="楷体_GB2312"/>
      <w:sz w:val="28"/>
      <w:szCs w:val="20"/>
    </w:rPr>
  </w:style>
  <w:style w:type="paragraph" w:styleId="974" w:customStyle="1">
    <w:name w:val="首行缩进"/>
    <w:basedOn w:val="687"/>
    <w:uiPriority w:val="0"/>
    <w:qFormat/>
    <w:pPr>
      <w:ind w:firstLine="480"/>
      <w:jc w:val="left"/>
      <w:spacing w:line="360" w:lineRule="auto"/>
    </w:pPr>
    <w:rPr>
      <w:rFonts w:ascii="宋体" w:hAnsi="宋体"/>
      <w:sz w:val="24"/>
    </w:rPr>
  </w:style>
  <w:style w:type="paragraph" w:styleId="975" w:customStyle="1">
    <w:name w:val="正文 A"/>
    <w:next w:val="736"/>
    <w:uiPriority w:val="0"/>
    <w:qFormat/>
    <w:pPr>
      <w:jc w:val="both"/>
      <w:widowControl w:val="off"/>
    </w:pPr>
    <w:rPr>
      <w:rFonts w:hint="default" w:ascii="Arial Unicode MS" w:hAnsi="Arial Unicode MS" w:eastAsia="Times New Roman" w:cs="Arial Unicode MS"/>
      <w:color w:val="000000"/>
      <w:sz w:val="21"/>
      <w:szCs w:val="21"/>
    </w:rPr>
  </w:style>
  <w:style w:type="paragraph" w:styleId="976" w:customStyle="1">
    <w:name w:val="font6"/>
    <w:basedOn w:val="687"/>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xl41"/>
    <w:basedOn w:val="687"/>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78" w:customStyle="1">
    <w:name w:val="列出段落1"/>
    <w:basedOn w:val="687"/>
    <w:uiPriority w:val="34"/>
    <w:qFormat/>
    <w:pPr>
      <w:ind w:firstLine="420"/>
    </w:pPr>
  </w:style>
  <w:style w:type="paragraph" w:styleId="979" w:customStyle="1">
    <w:name w:val="xl36"/>
    <w:basedOn w:val="687"/>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0" w:customStyle="1">
    <w:name w:val="xl53"/>
    <w:basedOn w:val="687"/>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1" w:customStyle="1">
    <w:name w:val="xl2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2" w:customStyle="1">
    <w:name w:val="font7"/>
    <w:basedOn w:val="687"/>
    <w:uiPriority w:val="0"/>
    <w:qFormat/>
    <w:pPr>
      <w:jc w:val="left"/>
      <w:spacing w:before="100" w:beforeAutospacing="1" w:after="100" w:afterAutospacing="1"/>
      <w:widowControl/>
    </w:pPr>
    <w:rPr>
      <w:sz w:val="24"/>
    </w:rPr>
  </w:style>
  <w:style w:type="paragraph" w:styleId="983" w:customStyle="1">
    <w:name w:val="_Style 12"/>
    <w:basedOn w:val="914"/>
    <w:uiPriority w:val="0"/>
    <w:qFormat/>
    <w:pPr>
      <w:jc w:val="left"/>
      <w:spacing w:line="360" w:lineRule="auto"/>
      <w:widowControl/>
    </w:pPr>
    <w:rPr>
      <w:sz w:val="24"/>
    </w:rPr>
  </w:style>
  <w:style w:type="paragraph" w:styleId="984" w:customStyle="1">
    <w:name w:val="Plain Text1"/>
    <w:basedOn w:val="687"/>
    <w:uiPriority w:val="0"/>
    <w:qFormat/>
    <w:pPr>
      <w:spacing w:line="312" w:lineRule="atLeast"/>
    </w:pPr>
    <w:rPr>
      <w:rFonts w:ascii="Arial Black" w:hAnsi="Courier New"/>
      <w:szCs w:val="20"/>
    </w:rPr>
  </w:style>
  <w:style w:type="paragraph" w:styleId="985" w:customStyle="1">
    <w:name w:val="纯文本2"/>
    <w:basedOn w:val="687"/>
    <w:uiPriority w:val="0"/>
    <w:qFormat/>
    <w:rPr>
      <w:rFonts w:ascii="宋体" w:hAnsi="Courier New" w:eastAsia="楷体_GB2312"/>
      <w:sz w:val="26"/>
      <w:szCs w:val="20"/>
    </w:rPr>
  </w:style>
  <w:style w:type="paragraph" w:styleId="986" w:customStyle="1">
    <w:name w:val="xl54"/>
    <w:basedOn w:val="687"/>
    <w:uiPriority w:val="0"/>
    <w:qFormat/>
    <w:pPr>
      <w:jc w:val="center"/>
      <w:spacing w:before="100" w:beforeAutospacing="1" w:after="100" w:afterAutospacing="1"/>
      <w:widowControl/>
    </w:pPr>
    <w:rPr>
      <w:rFonts w:hint="eastAsia" w:ascii="隶书" w:hAnsi="宋体" w:eastAsia="隶书"/>
      <w:sz w:val="48"/>
      <w:szCs w:val="48"/>
    </w:rPr>
  </w:style>
  <w:style w:type="paragraph" w:styleId="987" w:customStyle="1">
    <w:name w:val="正文2"/>
    <w:basedOn w:val="687"/>
    <w:uiPriority w:val="0"/>
    <w:qFormat/>
    <w:pPr>
      <w:ind w:firstLine="200"/>
      <w:jc w:val="left"/>
      <w:spacing w:after="160" w:line="360" w:lineRule="auto"/>
      <w:widowControl/>
    </w:pPr>
    <w:rPr>
      <w:szCs w:val="20"/>
    </w:rPr>
  </w:style>
  <w:style w:type="paragraph" w:styleId="988" w:customStyle="1">
    <w:name w:val="xl47"/>
    <w:basedOn w:val="687"/>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9" w:customStyle="1">
    <w:name w:val="Table Paragraph"/>
    <w:basedOn w:val="687"/>
    <w:uiPriority w:val="1"/>
    <w:qFormat/>
    <w:rPr>
      <w:rFonts w:ascii="宋体" w:hAnsi="宋体" w:cs="宋体"/>
      <w:lang w:val="zh-CN" w:bidi="zh-CN"/>
    </w:rPr>
  </w:style>
  <w:style w:type="paragraph" w:styleId="990" w:customStyle="1">
    <w:name w:val="xl28"/>
    <w:basedOn w:val="687"/>
    <w:uiPriority w:val="0"/>
    <w:qFormat/>
    <w:pPr>
      <w:jc w:val="left"/>
      <w:spacing w:before="100" w:beforeAutospacing="1" w:after="100" w:afterAutospacing="1"/>
      <w:widowControl/>
    </w:pPr>
    <w:rPr>
      <w:sz w:val="24"/>
    </w:rPr>
  </w:style>
  <w:style w:type="paragraph" w:styleId="991" w:customStyle="1">
    <w:name w:val="xl43"/>
    <w:basedOn w:val="687"/>
    <w:uiPriority w:val="0"/>
    <w:qFormat/>
    <w:pPr>
      <w:jc w:val="center"/>
      <w:spacing w:before="100" w:beforeAutospacing="1" w:after="100" w:afterAutospacing="1"/>
      <w:widowControl/>
    </w:pPr>
    <w:rPr>
      <w:rFonts w:ascii="宋体" w:hAnsi="宋体"/>
      <w:b/>
      <w:bCs/>
      <w:sz w:val="32"/>
      <w:szCs w:val="32"/>
    </w:rPr>
  </w:style>
  <w:style w:type="paragraph" w:styleId="992" w:customStyle="1">
    <w:name w:val="xl3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3" w:customStyle="1">
    <w:name w:val="xl51"/>
    <w:basedOn w:val="687"/>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94" w:customStyle="1">
    <w:name w:val="List Paragraph"/>
    <w:basedOn w:val="687"/>
    <w:uiPriority w:val="0"/>
    <w:qFormat/>
    <w:pPr>
      <w:ind w:firstLine="420"/>
    </w:pPr>
    <w:rPr>
      <w:rFonts w:ascii="Calibri" w:hAnsi="Calibri"/>
      <w:szCs w:val="22"/>
    </w:rPr>
  </w:style>
  <w:style w:type="paragraph" w:styleId="995" w:customStyle="1">
    <w:name w:val="Plain Text12"/>
    <w:basedOn w:val="687"/>
    <w:uiPriority w:val="0"/>
    <w:qFormat/>
    <w:rPr>
      <w:rFonts w:ascii="宋体" w:hAnsi="Courier New" w:eastAsia="楷体_GB2312"/>
      <w:sz w:val="28"/>
      <w:szCs w:val="20"/>
    </w:rPr>
  </w:style>
  <w:style w:type="paragraph" w:styleId="996" w:customStyle="1">
    <w:name w:val="纯文本1"/>
    <w:basedOn w:val="687"/>
    <w:uiPriority w:val="0"/>
    <w:qFormat/>
    <w:rPr>
      <w:rFonts w:hint="eastAsia" w:ascii="宋体" w:hAnsi="Courier New" w:eastAsia="楷体_GB2312"/>
      <w:sz w:val="28"/>
      <w:szCs w:val="20"/>
    </w:rPr>
  </w:style>
  <w:style w:type="paragraph" w:styleId="997" w:customStyle="1">
    <w:name w:val="纯文本4"/>
    <w:basedOn w:val="687"/>
    <w:uiPriority w:val="0"/>
    <w:qFormat/>
    <w:rPr>
      <w:rFonts w:ascii="宋体" w:hAnsi="Courier New" w:eastAsia="楷体_GB2312"/>
      <w:sz w:val="26"/>
      <w:szCs w:val="20"/>
    </w:rPr>
  </w:style>
  <w:style w:type="paragraph" w:styleId="998" w:customStyle="1">
    <w:name w:val="xl42"/>
    <w:basedOn w:val="687"/>
    <w:uiPriority w:val="0"/>
    <w:qFormat/>
    <w:pPr>
      <w:jc w:val="left"/>
      <w:spacing w:before="100" w:beforeAutospacing="1" w:after="100" w:afterAutospacing="1"/>
      <w:widowControl/>
      <w:pBdr>
        <w:top w:val="single" w:color="000000" w:sz="4" w:space="0"/>
      </w:pBdr>
    </w:pPr>
    <w:rPr>
      <w:sz w:val="24"/>
    </w:rPr>
  </w:style>
  <w:style w:type="paragraph" w:styleId="999" w:customStyle="1">
    <w:name w:val="xl30"/>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00" w:customStyle="1">
    <w:name w:val="xl38"/>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01" w:customStyle="1">
    <w:name w:val="Char Char1"/>
    <w:basedOn w:val="687"/>
    <w:uiPriority w:val="0"/>
    <w:qFormat/>
    <w:pPr>
      <w:jc w:val="left"/>
      <w:spacing w:after="160" w:line="240" w:lineRule="exact"/>
      <w:widowControl/>
    </w:pPr>
    <w:rPr>
      <w:rFonts w:ascii="Verdana" w:hAnsi="Verdana"/>
      <w:sz w:val="20"/>
      <w:szCs w:val="20"/>
      <w:lang w:eastAsia="en-US"/>
    </w:rPr>
  </w:style>
  <w:style w:type="paragraph" w:styleId="1002" w:customStyle="1">
    <w:name w:val="正文1"/>
    <w:basedOn w:val="687"/>
    <w:next w:val="687"/>
    <w:uiPriority w:val="0"/>
    <w:qFormat/>
    <w:pPr>
      <w:ind w:left="2160"/>
      <w:spacing w:line="360" w:lineRule="auto"/>
      <w:tabs>
        <w:tab w:val="left" w:pos="1980" w:leader="none"/>
        <w:tab w:val="left" w:pos="2160" w:leader="none"/>
      </w:tabs>
    </w:pPr>
    <w:rPr>
      <w:rFonts w:ascii="宋体" w:hAnsi="宋体"/>
    </w:rPr>
  </w:style>
  <w:style w:type="paragraph" w:styleId="1003" w:customStyle="1">
    <w:name w:val="列出段落11"/>
    <w:basedOn w:val="687"/>
    <w:uiPriority w:val="0"/>
    <w:qFormat/>
    <w:pPr>
      <w:ind w:firstLine="420"/>
    </w:pPr>
    <w:rPr>
      <w:rFonts w:ascii="Calibri" w:hAnsi="Calibri"/>
      <w:szCs w:val="22"/>
    </w:rPr>
  </w:style>
  <w:style w:type="paragraph" w:styleId="1004" w:customStyle="1">
    <w:name w:val="xl5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05" w:customStyle="1">
    <w:name w:val="font5"/>
    <w:basedOn w:val="687"/>
    <w:uiPriority w:val="0"/>
    <w:qFormat/>
    <w:pPr>
      <w:jc w:val="left"/>
      <w:spacing w:before="100" w:beforeAutospacing="1" w:after="100" w:afterAutospacing="1"/>
      <w:widowControl/>
    </w:pPr>
    <w:rPr>
      <w:rFonts w:hint="eastAsia" w:ascii="宋体" w:hAnsi="宋体"/>
      <w:sz w:val="24"/>
    </w:rPr>
  </w:style>
  <w:style w:type="paragraph" w:styleId="1006" w:customStyle="1">
    <w:name w:val="xl2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7" w:customStyle="1">
    <w:name w:val="xl49"/>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08" w:customStyle="1">
    <w:name w:val="_Style 1"/>
    <w:basedOn w:val="687"/>
    <w:uiPriority w:val="34"/>
    <w:qFormat/>
    <w:pPr>
      <w:ind w:firstLine="420"/>
    </w:pPr>
  </w:style>
  <w:style w:type="paragraph" w:styleId="1009" w:customStyle="1">
    <w:name w:val="xl33"/>
    <w:basedOn w:val="687"/>
    <w:uiPriority w:val="0"/>
    <w:qFormat/>
    <w:pPr>
      <w:jc w:val="center"/>
      <w:spacing w:before="100" w:beforeAutospacing="1" w:after="100" w:afterAutospacing="1"/>
      <w:widowControl/>
    </w:pPr>
    <w:rPr>
      <w:sz w:val="24"/>
    </w:rPr>
  </w:style>
  <w:style w:type="paragraph" w:styleId="1010" w:customStyle="1">
    <w:name w:val="彩色列表 - 强调文字颜色 11"/>
    <w:basedOn w:val="687"/>
    <w:uiPriority w:val="34"/>
    <w:qFormat/>
    <w:pPr>
      <w:ind w:firstLine="420"/>
      <w:spacing w:line="360" w:lineRule="auto"/>
    </w:pPr>
    <w:rPr>
      <w:rFonts w:ascii="Calibri" w:hAnsi="Calibri"/>
      <w:sz w:val="24"/>
      <w:szCs w:val="22"/>
    </w:rPr>
  </w:style>
  <w:style w:type="paragraph" w:styleId="1011" w:customStyle="1">
    <w:name w:val="p15"/>
    <w:basedOn w:val="687"/>
    <w:uiPriority w:val="0"/>
    <w:qFormat/>
    <w:pPr>
      <w:widowControl/>
    </w:pPr>
    <w:rPr>
      <w:rFonts w:ascii="宋体" w:hAnsi="宋体" w:cs="宋体"/>
      <w:sz w:val="28"/>
      <w:szCs w:val="28"/>
    </w:rPr>
  </w:style>
  <w:style w:type="paragraph" w:styleId="1012" w:customStyle="1">
    <w:name w:val="p0"/>
    <w:basedOn w:val="687"/>
    <w:uiPriority w:val="0"/>
    <w:qFormat/>
    <w:pPr>
      <w:jc w:val="left"/>
      <w:spacing w:before="100" w:beforeAutospacing="1" w:after="100" w:afterAutospacing="1"/>
      <w:widowControl/>
    </w:pPr>
    <w:rPr>
      <w:rFonts w:ascii="宋体" w:hAnsi="宋体" w:cs="宋体"/>
      <w:sz w:val="24"/>
    </w:rPr>
  </w:style>
  <w:style w:type="paragraph" w:styleId="1013" w:customStyle="1">
    <w:name w:val="9小四表格正文"/>
    <w:uiPriority w:val="0"/>
    <w:qFormat/>
    <w:pPr>
      <w:jc w:val="center"/>
    </w:pPr>
    <w:rPr>
      <w:rFonts w:hint="default" w:ascii="Times New Roman" w:hAnsi="Times New Roman" w:eastAsia="仿宋_GB2312" w:cs="Times New Roman"/>
      <w:sz w:val="24"/>
      <w:szCs w:val="24"/>
    </w:rPr>
  </w:style>
  <w:style w:type="paragraph" w:styleId="1014" w:customStyle="1">
    <w:name w:val="Table Text"/>
    <w:basedOn w:val="687"/>
    <w:uiPriority w:val="0"/>
    <w:semiHidden/>
    <w:qFormat/>
    <w:rPr>
      <w:rFonts w:ascii="宋体" w:hAnsi="宋体" w:cs="宋体"/>
      <w:sz w:val="20"/>
      <w:szCs w:val="20"/>
    </w:rPr>
  </w:style>
  <w:style w:type="table" w:styleId="1015" w:customStyle="1">
    <w:name w:val="Table Normal"/>
    <w:uiPriority w:val="0"/>
    <w:unhideWhenUsed/>
    <w:qFormat/>
    <w:tblPr>
      <w:tblCellMar>
        <w:left w:w="0" w:type="dxa"/>
        <w:top w:w="0" w:type="dxa"/>
        <w:right w:w="0" w:type="dxa"/>
        <w:bottom w:w="0" w:type="dxa"/>
      </w:tblCellMar>
    </w:tblPr>
  </w:style>
  <w:style w:type="paragraph" w:styleId="1016" w:customStyle="1">
    <w:name w:val="标题 11"/>
    <w:basedOn w:val="687"/>
    <w:next w:val="687"/>
    <w:uiPriority w:val="0"/>
    <w:qFormat/>
    <w:pPr>
      <w:keepLines/>
      <w:keepNext/>
      <w:spacing w:before="340" w:after="330" w:line="576" w:lineRule="auto"/>
      <w:outlineLvl w:val="0"/>
    </w:pPr>
    <w:rPr>
      <w:rFonts w:eastAsia="楷体_GB2312"/>
      <w:b/>
      <w:sz w:val="44"/>
      <w:szCs w:val="20"/>
    </w:rPr>
  </w:style>
  <w:style w:type="table" w:styleId="1017" w:customStyle="1">
    <w:name w:val="网格型1"/>
    <w:basedOn w:val="1018"/>
    <w:uiPriority w:val="0"/>
    <w:qFormat/>
    <w:tblPr>
      <w:tblCellMar>
        <w:left w:w="0" w:type="dxa"/>
        <w:top w:w="0" w:type="dxa"/>
        <w:right w:w="0" w:type="dxa"/>
        <w:bottom w:w="0" w:type="dxa"/>
      </w:tblCellMar>
    </w:tblPr>
  </w:style>
  <w:style w:type="table" w:styleId="1018" w:customStyle="1">
    <w:name w:val="普通表格1"/>
    <w:uiPriority w:val="99"/>
    <w:unhideWhenUsed/>
    <w:qFormat/>
    <w:tblPr>
      <w:tblCellMar>
        <w:left w:w="0" w:type="dxa"/>
        <w:top w:w="0" w:type="dxa"/>
        <w:right w:w="0" w:type="dxa"/>
        <w:bottom w:w="0" w:type="dxa"/>
      </w:tblCellMar>
    </w:tblPr>
  </w:style>
  <w:style w:type="paragraph" w:styleId="1019" w:customStyle="1">
    <w:name w:val="正文文本缩进 31"/>
    <w:basedOn w:val="687"/>
    <w:uiPriority w:val="0"/>
    <w:qFormat/>
    <w:pPr>
      <w:ind w:left="420"/>
      <w:spacing w:after="120"/>
    </w:pPr>
    <w:rPr>
      <w:sz w:val="16"/>
      <w:szCs w:val="16"/>
    </w:rPr>
  </w:style>
  <w:style w:type="paragraph" w:styleId="1020" w:customStyle="1">
    <w:name w:val="普通(网站)1"/>
    <w:basedOn w:val="687"/>
    <w:uiPriority w:val="0"/>
    <w:qFormat/>
    <w:pPr>
      <w:jc w:val="left"/>
      <w:spacing w:before="100" w:beforeAutospacing="1" w:after="100" w:afterAutospacing="1"/>
      <w:widowControl/>
    </w:pPr>
    <w:rPr>
      <w:rFonts w:ascii="宋体" w:hAnsi="宋体"/>
      <w:sz w:val="24"/>
    </w:rPr>
  </w:style>
  <w:style w:type="paragraph" w:styleId="1021" w:customStyle="1">
    <w:name w:val="纯文本12"/>
    <w:basedOn w:val="687"/>
    <w:uiPriority w:val="0"/>
    <w:qFormat/>
    <w:rPr>
      <w:rFonts w:ascii="宋体" w:hAnsi="Courier New" w:eastAsia="楷体_GB2312"/>
      <w:sz w:val="28"/>
      <w:szCs w:val="20"/>
    </w:rPr>
  </w:style>
  <w:style w:type="paragraph" w:styleId="1022" w:customStyle="1">
    <w:name w:val="正文缩进11"/>
    <w:basedOn w:val="687"/>
    <w:next w:val="687"/>
    <w:uiPriority w:val="0"/>
    <w:qFormat/>
    <w:pPr>
      <w:ind w:firstLine="420"/>
      <w:jc w:val="left"/>
    </w:pPr>
    <w:rPr>
      <w:rFonts w:eastAsia="楷体_GB2312"/>
      <w:sz w:val="24"/>
      <w:szCs w:val="20"/>
    </w:rPr>
  </w:style>
  <w:style w:type="paragraph" w:styleId="1023" w:customStyle="1">
    <w:name w:val="纯文本3"/>
    <w:basedOn w:val="687"/>
    <w:uiPriority w:val="0"/>
    <w:qFormat/>
    <w:rPr>
      <w:rFonts w:ascii="宋体" w:hAnsi="Courier New" w:eastAsia="楷体_GB2312"/>
      <w:sz w:val="26"/>
      <w:szCs w:val="20"/>
    </w:rPr>
  </w:style>
  <w:style w:type="character" w:styleId="1024" w:customStyle="1">
    <w:name w:val="批注框文本 Char1"/>
    <w:basedOn w:val="697"/>
    <w:link w:val="712"/>
    <w:uiPriority w:val="99"/>
    <w:semiHidden/>
    <w:qFormat/>
    <w:rPr>
      <w:sz w:val="18"/>
      <w:szCs w:val="18"/>
    </w:rPr>
  </w:style>
  <w:style w:type="paragraph" w:styleId="1025" w:customStyle="1">
    <w:name w:val="Plain Text"/>
    <w:basedOn w:val="687"/>
    <w:uiPriority w:val="0"/>
    <w:qFormat/>
    <w:rPr>
      <w:rFonts w:ascii="宋体" w:hAnsi="Courier New" w:eastAsia="楷体_GB2312"/>
      <w:sz w:val="28"/>
      <w:szCs w:val="20"/>
    </w:rPr>
  </w:style>
  <w:style w:type="character" w:styleId="1026" w:customStyle="1">
    <w:name w:val="font51"/>
    <w:basedOn w:val="697"/>
    <w:uiPriority w:val="0"/>
    <w:qFormat/>
    <w:rPr>
      <w:rFonts w:hint="eastAsia" w:ascii="宋体" w:hAnsi="宋体" w:eastAsia="宋体" w:cs="宋体"/>
      <w:color w:val="000000"/>
      <w:sz w:val="20"/>
      <w:szCs w:val="20"/>
      <w:u w:val="none"/>
    </w:rPr>
  </w:style>
  <w:style w:type="paragraph" w:styleId="1027" w:customStyle="1">
    <w:name w:val="*正文"/>
    <w:basedOn w:val="687"/>
    <w:uiPriority w:val="0"/>
    <w:qFormat/>
    <w:pPr>
      <w:ind w:firstLine="480"/>
      <w:spacing w:line="300" w:lineRule="auto"/>
    </w:pPr>
    <w:rPr>
      <w:rFonts w:ascii="宋体" w:hAnsi="宋体"/>
    </w:rPr>
  </w:style>
  <w:style w:type="paragraph" w:styleId="1028" w:customStyle="1">
    <w:name w:val="正文空2字"/>
    <w:basedOn w:val="724"/>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29" w:customStyle="1">
    <w:name w:val="NormalCharacter1"/>
    <w:uiPriority w:val="0"/>
    <w:semiHidden/>
    <w:qFormat/>
    <w:rPr>
      <w:rFonts w:ascii="Calibri" w:hAnsi="Calibri" w:eastAsia="宋体" w:cs="Times New Roman"/>
      <w:sz w:val="21"/>
      <w:szCs w:val="24"/>
      <w:lang w:val="en-US" w:eastAsia="zh-CN" w:bidi="ar-SA"/>
    </w:rPr>
  </w:style>
  <w:style w:type="paragraph" w:styleId="1030" w:customStyle="1">
    <w:name w:val="NormalIndent"/>
    <w:basedOn w:val="687"/>
    <w:uiPriority w:val="99"/>
    <w:qFormat/>
    <w:pPr>
      <w:ind w:firstLine="420"/>
    </w:pPr>
    <w:rPr>
      <w:rFonts w:ascii="Calibri" w:hAnsi="Calibri" w:eastAsia="楷体_GB2312" w:cs="Times New Roman"/>
      <w:sz w:val="24"/>
      <w:szCs w:val="22"/>
    </w:rPr>
  </w:style>
  <w:style w:type="character" w:styleId="1031" w:customStyle="1">
    <w:name w:val="font81"/>
    <w:link w:val="687"/>
    <w:uiPriority w:val="0"/>
    <w:qFormat/>
    <w:rPr>
      <w:rFonts w:hint="default" w:ascii="Times New Roman" w:hAnsi="Times New Roman" w:eastAsia="宋体" w:cs="Times New Roman"/>
      <w:sz w:val="21"/>
      <w:szCs w:val="24"/>
    </w:rPr>
  </w:style>
  <w:style w:type="character" w:styleId="1032" w:customStyle="1">
    <w:name w:val="font91"/>
    <w:basedOn w:val="697"/>
    <w:uiPriority w:val="0"/>
    <w:qFormat/>
    <w:rPr>
      <w:rFonts w:hint="eastAsia" w:ascii="宋体" w:hAnsi="宋体" w:eastAsia="宋体" w:cs="宋体"/>
      <w:b/>
      <w:bCs/>
      <w:color w:val="000000"/>
      <w:sz w:val="24"/>
      <w:szCs w:val="24"/>
      <w:u w:val="none"/>
    </w:rPr>
  </w:style>
  <w:style w:type="character" w:styleId="1033" w:customStyle="1">
    <w:name w:val="要点1"/>
    <w:link w:val="687"/>
    <w:uiPriority w:val="22"/>
    <w:qFormat/>
    <w:rPr>
      <w:b/>
      <w:bCs/>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姚佳慧</cp:lastModifiedBy>
  <cp:revision>30</cp:revision>
  <dcterms:created xsi:type="dcterms:W3CDTF">2020-11-26T14:23:00Z</dcterms:created>
  <dcterms:modified xsi:type="dcterms:W3CDTF">2026-01-08T02:54:27Z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D449A296C82D42368D16529848E97375_13</vt:lpwstr>
  </property>
  <property fmtid="{D5CDD505-2E9C-101B-9397-08002B2CF9AE}" pid="4" name="KSOTemplateDocerSaveRecord">
    <vt:lpwstr>eyJoZGlkIjoiOThiM2VhMjVhNDNiZmNlZjNlYjIxZDBmOWEyZDNkMTkiLCJ1c2VySWQiOiIzMTAxNjA1In0=</vt:lpwstr>
  </property>
</Properties>
</file>